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cs="Times New Roman" w:asciiTheme="majorEastAsia" w:hAnsiTheme="majorEastAsia" w:eastAsiaTheme="majorEastAsia"/>
          <w:b/>
          <w:sz w:val="44"/>
          <w:szCs w:val="44"/>
        </w:rPr>
      </w:pPr>
      <w:r>
        <w:rPr>
          <w:rFonts w:hint="eastAsia" w:cs="Times New Roman" w:asciiTheme="majorEastAsia" w:hAnsiTheme="majorEastAsia" w:eastAsiaTheme="majorEastAsia"/>
          <w:b/>
          <w:sz w:val="44"/>
          <w:szCs w:val="44"/>
        </w:rPr>
        <w:t>香河县人大部门2018年部门预算公开情况说明</w:t>
      </w:r>
    </w:p>
    <w:p>
      <w:pPr>
        <w:ind w:firstLine="640" w:firstLineChars="200"/>
        <w:rPr>
          <w:rFonts w:ascii="仿宋" w:hAnsi="仿宋" w:eastAsia="仿宋" w:cs="Times New Roman"/>
          <w:sz w:val="32"/>
          <w:szCs w:val="32"/>
        </w:rPr>
      </w:pPr>
      <w:r>
        <w:rPr>
          <w:rFonts w:ascii="仿宋" w:hAnsi="仿宋" w:eastAsia="仿宋" w:cs="Times New Roman"/>
          <w:sz w:val="32"/>
          <w:szCs w:val="32"/>
        </w:rPr>
        <w:t>按照</w:t>
      </w:r>
      <w:r>
        <w:rPr>
          <w:rFonts w:hint="eastAsia" w:ascii="仿宋" w:hAnsi="仿宋" w:eastAsia="仿宋" w:cs="Times New Roman"/>
          <w:sz w:val="32"/>
          <w:szCs w:val="32"/>
        </w:rPr>
        <w:t>《预算法》、</w:t>
      </w:r>
      <w:r>
        <w:rPr>
          <w:rFonts w:ascii="仿宋" w:hAnsi="仿宋" w:eastAsia="仿宋" w:cs="Times New Roman"/>
          <w:sz w:val="32"/>
          <w:szCs w:val="32"/>
        </w:rPr>
        <w:t>《地方预决算公开操作规程》和《河北省省级预算公开办法》</w:t>
      </w:r>
      <w:r>
        <w:rPr>
          <w:rFonts w:hint="eastAsia" w:ascii="仿宋" w:hAnsi="仿宋" w:eastAsia="仿宋" w:cs="Times New Roman"/>
          <w:sz w:val="32"/>
          <w:szCs w:val="32"/>
        </w:rPr>
        <w:t>规定</w:t>
      </w:r>
      <w:r>
        <w:rPr>
          <w:rFonts w:ascii="仿宋" w:hAnsi="仿宋" w:eastAsia="仿宋" w:cs="Times New Roman"/>
          <w:sz w:val="32"/>
          <w:szCs w:val="32"/>
        </w:rPr>
        <w:t>，现将</w:t>
      </w:r>
      <w:r>
        <w:rPr>
          <w:rFonts w:hint="eastAsia" w:ascii="仿宋" w:hAnsi="仿宋" w:eastAsia="仿宋" w:cs="Times New Roman"/>
          <w:sz w:val="32"/>
          <w:szCs w:val="32"/>
        </w:rPr>
        <w:t>香河县人大</w:t>
      </w:r>
      <w:r>
        <w:rPr>
          <w:rFonts w:ascii="仿宋" w:hAnsi="仿宋" w:eastAsia="仿宋" w:cs="Times New Roman"/>
          <w:sz w:val="32"/>
          <w:szCs w:val="32"/>
        </w:rPr>
        <w:t>201</w:t>
      </w:r>
      <w:r>
        <w:rPr>
          <w:rFonts w:hint="eastAsia" w:ascii="仿宋" w:hAnsi="仿宋" w:eastAsia="仿宋" w:cs="Times New Roman"/>
          <w:sz w:val="32"/>
          <w:szCs w:val="32"/>
        </w:rPr>
        <w:t>8</w:t>
      </w:r>
      <w:r>
        <w:rPr>
          <w:rFonts w:ascii="仿宋" w:hAnsi="仿宋" w:eastAsia="仿宋" w:cs="Times New Roman"/>
          <w:sz w:val="32"/>
          <w:szCs w:val="32"/>
        </w:rPr>
        <w:t>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部门</w:t>
      </w:r>
      <w:r>
        <w:rPr>
          <w:rFonts w:ascii="仿宋" w:hAnsi="仿宋" w:eastAsia="仿宋" w:cs="Times New Roman"/>
          <w:b/>
          <w:sz w:val="32"/>
          <w:szCs w:val="32"/>
        </w:rPr>
        <w:t>职责：</w:t>
      </w:r>
    </w:p>
    <w:p>
      <w:pPr>
        <w:ind w:firstLine="640" w:firstLineChars="200"/>
        <w:rPr>
          <w:rFonts w:hint="eastAsia" w:ascii="仿宋" w:hAnsi="仿宋" w:eastAsia="仿宋" w:cs="Times New Roman"/>
          <w:b w:val="0"/>
          <w:bCs/>
          <w:sz w:val="32"/>
          <w:szCs w:val="32"/>
          <w:lang w:val="en-US" w:eastAsia="zh-CN"/>
        </w:rPr>
      </w:pPr>
      <w:r>
        <w:rPr>
          <w:rFonts w:hint="eastAsia" w:ascii="仿宋" w:hAnsi="仿宋" w:eastAsia="仿宋" w:cs="Times New Roman"/>
          <w:b w:val="0"/>
          <w:bCs/>
          <w:sz w:val="32"/>
          <w:szCs w:val="32"/>
          <w:lang w:val="en-US" w:eastAsia="zh-CN"/>
        </w:rPr>
        <w:t>根据《地方组织法》，县人大常委会是地方国家权力机关，依照该法，行驶15项职权。其工作部门行驶下列只能：</w:t>
      </w:r>
    </w:p>
    <w:p>
      <w:pPr>
        <w:numPr>
          <w:ilvl w:val="0"/>
          <w:numId w:val="0"/>
        </w:numPr>
        <w:ind w:firstLine="640" w:firstLineChars="200"/>
        <w:rPr>
          <w:rFonts w:hint="eastAsia" w:ascii="仿宋" w:hAnsi="仿宋" w:eastAsia="仿宋" w:cs="Times New Roman"/>
          <w:b w:val="0"/>
          <w:bCs/>
          <w:sz w:val="32"/>
          <w:szCs w:val="32"/>
          <w:lang w:val="en-US" w:eastAsia="zh-CN"/>
        </w:rPr>
      </w:pPr>
      <w:r>
        <w:rPr>
          <w:rFonts w:hint="eastAsia" w:ascii="仿宋" w:hAnsi="仿宋" w:eastAsia="仿宋" w:cs="Times New Roman"/>
          <w:b w:val="0"/>
          <w:bCs/>
          <w:sz w:val="32"/>
          <w:szCs w:val="32"/>
          <w:lang w:val="en-US" w:eastAsia="zh-CN"/>
        </w:rPr>
        <w:t>（一）完成召开县人民代表大会，人大常委会会议和主任会议的各项筹备工作。</w:t>
      </w:r>
    </w:p>
    <w:p>
      <w:pPr>
        <w:numPr>
          <w:ilvl w:val="0"/>
          <w:numId w:val="0"/>
        </w:numPr>
        <w:ind w:firstLine="640" w:firstLineChars="200"/>
        <w:rPr>
          <w:rFonts w:hint="eastAsia" w:ascii="仿宋" w:hAnsi="仿宋" w:eastAsia="仿宋" w:cs="Times New Roman"/>
          <w:b w:val="0"/>
          <w:bCs/>
          <w:sz w:val="32"/>
          <w:szCs w:val="32"/>
          <w:lang w:val="en-US" w:eastAsia="zh-CN"/>
        </w:rPr>
      </w:pPr>
      <w:r>
        <w:rPr>
          <w:rFonts w:hint="eastAsia" w:ascii="仿宋" w:hAnsi="仿宋" w:eastAsia="仿宋" w:cs="Times New Roman"/>
          <w:b w:val="0"/>
          <w:bCs/>
          <w:sz w:val="32"/>
          <w:szCs w:val="32"/>
          <w:lang w:val="en-US" w:eastAsia="zh-CN"/>
        </w:rPr>
        <w:t>（二）为代表视察、执法检查做好必要的准备工作。</w:t>
      </w:r>
    </w:p>
    <w:p>
      <w:pPr>
        <w:numPr>
          <w:ilvl w:val="0"/>
          <w:numId w:val="0"/>
        </w:numPr>
        <w:ind w:firstLine="640" w:firstLineChars="200"/>
        <w:rPr>
          <w:rFonts w:hint="eastAsia" w:ascii="仿宋" w:hAnsi="仿宋" w:eastAsia="仿宋" w:cs="Times New Roman"/>
          <w:b w:val="0"/>
          <w:bCs/>
          <w:sz w:val="32"/>
          <w:szCs w:val="32"/>
          <w:lang w:val="en-US" w:eastAsia="zh-CN"/>
        </w:rPr>
      </w:pPr>
      <w:r>
        <w:rPr>
          <w:rFonts w:hint="eastAsia" w:ascii="仿宋" w:hAnsi="仿宋" w:eastAsia="仿宋" w:cs="Times New Roman"/>
          <w:b w:val="0"/>
          <w:bCs/>
          <w:sz w:val="32"/>
          <w:szCs w:val="32"/>
          <w:lang w:val="en-US" w:eastAsia="zh-CN"/>
        </w:rPr>
        <w:t>（三）开展调查研究，为常委会实施监督，审议、决定有关重大事项提供依据。</w:t>
      </w:r>
    </w:p>
    <w:p>
      <w:pPr>
        <w:numPr>
          <w:ilvl w:val="0"/>
          <w:numId w:val="0"/>
        </w:numPr>
        <w:ind w:firstLine="640" w:firstLineChars="200"/>
        <w:rPr>
          <w:rFonts w:hint="eastAsia" w:ascii="仿宋" w:hAnsi="仿宋" w:eastAsia="仿宋" w:cs="Times New Roman"/>
          <w:b w:val="0"/>
          <w:bCs/>
          <w:sz w:val="32"/>
          <w:szCs w:val="32"/>
          <w:lang w:val="en-US" w:eastAsia="zh-CN"/>
        </w:rPr>
      </w:pPr>
      <w:r>
        <w:rPr>
          <w:rFonts w:hint="eastAsia" w:ascii="仿宋" w:hAnsi="仿宋" w:eastAsia="仿宋" w:cs="Times New Roman"/>
          <w:b w:val="0"/>
          <w:bCs/>
          <w:sz w:val="32"/>
          <w:szCs w:val="32"/>
          <w:lang w:val="en-US" w:eastAsia="zh-CN"/>
        </w:rPr>
        <w:t>（四）负责处理代表议案、建议，批评和意见，以及群众来信来访等具体工作。</w:t>
      </w:r>
    </w:p>
    <w:p>
      <w:pPr>
        <w:numPr>
          <w:ilvl w:val="0"/>
          <w:numId w:val="0"/>
        </w:numPr>
        <w:ind w:firstLine="640" w:firstLineChars="200"/>
        <w:rPr>
          <w:rFonts w:hint="eastAsia" w:ascii="仿宋" w:hAnsi="仿宋" w:eastAsia="仿宋" w:cs="Times New Roman"/>
          <w:b w:val="0"/>
          <w:bCs/>
          <w:sz w:val="32"/>
          <w:szCs w:val="32"/>
          <w:lang w:val="en-US" w:eastAsia="zh-CN"/>
        </w:rPr>
      </w:pPr>
      <w:r>
        <w:rPr>
          <w:rFonts w:hint="eastAsia" w:ascii="仿宋" w:hAnsi="仿宋" w:eastAsia="仿宋" w:cs="Times New Roman"/>
          <w:b w:val="0"/>
          <w:bCs/>
          <w:sz w:val="32"/>
          <w:szCs w:val="32"/>
          <w:lang w:val="en-US" w:eastAsia="zh-CN"/>
        </w:rPr>
        <w:t>（五）负责完成上级人大交办的各项具体工作。</w:t>
      </w:r>
    </w:p>
    <w:p>
      <w:pPr>
        <w:numPr>
          <w:ilvl w:val="0"/>
          <w:numId w:val="0"/>
        </w:numPr>
        <w:ind w:firstLine="640" w:firstLineChars="200"/>
        <w:rPr>
          <w:rFonts w:hint="eastAsia" w:ascii="仿宋" w:hAnsi="仿宋" w:eastAsia="仿宋" w:cs="Times New Roman"/>
          <w:b w:val="0"/>
          <w:bCs/>
          <w:sz w:val="32"/>
          <w:szCs w:val="32"/>
          <w:lang w:val="en-US" w:eastAsia="zh-CN"/>
        </w:rPr>
      </w:pPr>
      <w:r>
        <w:rPr>
          <w:rFonts w:hint="eastAsia" w:ascii="仿宋" w:hAnsi="仿宋" w:eastAsia="仿宋" w:cs="Times New Roman"/>
          <w:b w:val="0"/>
          <w:bCs/>
          <w:sz w:val="32"/>
          <w:szCs w:val="32"/>
          <w:lang w:val="en-US" w:eastAsia="zh-CN"/>
        </w:rPr>
        <w:t>（六）随时完成县人大常委会交办的各项任务。</w:t>
      </w:r>
    </w:p>
    <w:p>
      <w:pPr>
        <w:numPr>
          <w:ilvl w:val="0"/>
          <w:numId w:val="0"/>
        </w:numPr>
        <w:ind w:firstLine="640" w:firstLineChars="200"/>
        <w:rPr>
          <w:rFonts w:hint="eastAsia" w:ascii="仿宋" w:hAnsi="仿宋" w:eastAsia="仿宋" w:cs="Times New Roman"/>
          <w:b w:val="0"/>
          <w:bCs/>
          <w:sz w:val="32"/>
          <w:szCs w:val="32"/>
          <w:lang w:val="en-US" w:eastAsia="zh-CN"/>
        </w:rPr>
      </w:pPr>
      <w:r>
        <w:rPr>
          <w:rFonts w:hint="eastAsia" w:ascii="仿宋" w:hAnsi="仿宋" w:eastAsia="仿宋" w:cs="Times New Roman"/>
          <w:b w:val="0"/>
          <w:bCs/>
          <w:sz w:val="32"/>
          <w:szCs w:val="32"/>
          <w:lang w:val="en-US" w:eastAsia="zh-CN"/>
        </w:rPr>
        <w:t>（七）协调同县人民政府、人民法院、人民检察院的工作关系。</w:t>
      </w:r>
    </w:p>
    <w:p>
      <w:pPr>
        <w:numPr>
          <w:ilvl w:val="0"/>
          <w:numId w:val="0"/>
        </w:numPr>
        <w:ind w:firstLine="643" w:firstLineChars="200"/>
        <w:rPr>
          <w:rFonts w:hint="eastAsia" w:ascii="仿宋" w:hAnsi="仿宋" w:eastAsia="仿宋" w:cs="Times New Roman"/>
          <w:b w:val="0"/>
          <w:bCs/>
          <w:sz w:val="32"/>
          <w:szCs w:val="32"/>
          <w:lang w:val="en-US" w:eastAsia="zh-CN"/>
        </w:rPr>
      </w:pPr>
      <w:r>
        <w:rPr>
          <w:rFonts w:hint="eastAsia" w:ascii="仿宋" w:hAnsi="仿宋" w:eastAsia="仿宋" w:cs="Times New Roman"/>
          <w:b/>
          <w:bCs w:val="0"/>
          <w:sz w:val="32"/>
          <w:szCs w:val="32"/>
          <w:lang w:val="en-US" w:eastAsia="zh-CN"/>
        </w:rPr>
        <w:t>机构设置</w:t>
      </w:r>
      <w:r>
        <w:rPr>
          <w:rFonts w:hint="eastAsia" w:ascii="仿宋" w:hAnsi="仿宋" w:eastAsia="仿宋" w:cs="Times New Roman"/>
          <w:b w:val="0"/>
          <w:bCs/>
          <w:sz w:val="32"/>
          <w:szCs w:val="32"/>
          <w:lang w:val="en-US" w:eastAsia="zh-CN"/>
        </w:rPr>
        <w:t>：</w:t>
      </w:r>
    </w:p>
    <w:p>
      <w:pPr>
        <w:numPr>
          <w:ilvl w:val="0"/>
          <w:numId w:val="0"/>
        </w:numPr>
        <w:ind w:firstLine="640" w:firstLineChars="200"/>
        <w:rPr>
          <w:rFonts w:hint="eastAsia" w:ascii="仿宋" w:hAnsi="仿宋" w:eastAsia="仿宋" w:cs="Times New Roman"/>
          <w:b w:val="0"/>
          <w:bCs/>
          <w:sz w:val="32"/>
          <w:szCs w:val="32"/>
          <w:lang w:val="en-US" w:eastAsia="zh-CN"/>
        </w:rPr>
      </w:pPr>
      <w:r>
        <w:rPr>
          <w:rFonts w:hint="eastAsia" w:ascii="仿宋" w:hAnsi="仿宋" w:eastAsia="仿宋" w:cs="Times New Roman"/>
          <w:b w:val="0"/>
          <w:bCs/>
          <w:sz w:val="32"/>
          <w:szCs w:val="32"/>
          <w:lang w:val="en-US" w:eastAsia="zh-CN"/>
        </w:rPr>
        <w:t>县人大常委会内设“一室四科”，五个具体部门。</w:t>
      </w:r>
    </w:p>
    <w:p>
      <w:pPr>
        <w:spacing w:line="560" w:lineRule="exact"/>
        <w:ind w:firstLine="640" w:firstLineChars="200"/>
        <w:rPr>
          <w:rFonts w:ascii="黑体" w:eastAsia="黑体"/>
          <w:szCs w:val="32"/>
        </w:rPr>
      </w:pPr>
      <w:r>
        <w:rPr>
          <w:rFonts w:hint="eastAsia" w:ascii="仿宋" w:hAnsi="仿宋" w:eastAsia="仿宋"/>
          <w:sz w:val="32"/>
          <w:szCs w:val="32"/>
        </w:rPr>
        <w:t>一、办公室。</w:t>
      </w:r>
    </w:p>
    <w:p>
      <w:pPr>
        <w:ind w:firstLine="640" w:firstLineChars="200"/>
        <w:rPr>
          <w:rFonts w:ascii="仿宋" w:hAnsi="仿宋" w:eastAsia="仿宋"/>
          <w:sz w:val="32"/>
          <w:szCs w:val="32"/>
        </w:rPr>
      </w:pPr>
      <w:r>
        <w:rPr>
          <w:rFonts w:hint="eastAsia" w:ascii="仿宋" w:hAnsi="仿宋" w:eastAsia="仿宋"/>
          <w:sz w:val="32"/>
          <w:szCs w:val="32"/>
        </w:rPr>
        <w:t>负责文秘、政务、机要、文书档案管理，机关财务</w:t>
      </w:r>
      <w:r>
        <w:rPr>
          <w:rFonts w:ascii="仿宋" w:hAnsi="仿宋" w:eastAsia="仿宋"/>
          <w:sz w:val="32"/>
          <w:szCs w:val="32"/>
        </w:rPr>
        <w:t xml:space="preserve"> </w:t>
      </w:r>
      <w:r>
        <w:rPr>
          <w:rFonts w:hint="eastAsia" w:ascii="仿宋" w:hAnsi="仿宋" w:eastAsia="仿宋"/>
          <w:sz w:val="32"/>
          <w:szCs w:val="32"/>
        </w:rPr>
        <w:t>，后勤服务，老干部服务和机关在组织协调工作。</w:t>
      </w:r>
    </w:p>
    <w:p>
      <w:pPr>
        <w:rPr>
          <w:rFonts w:ascii="仿宋" w:hAnsi="仿宋" w:eastAsia="仿宋"/>
          <w:sz w:val="32"/>
          <w:szCs w:val="32"/>
        </w:rPr>
      </w:pPr>
      <w:r>
        <w:rPr>
          <w:rFonts w:hint="eastAsia" w:ascii="仿宋" w:hAnsi="仿宋" w:eastAsia="仿宋"/>
          <w:sz w:val="32"/>
          <w:szCs w:val="32"/>
        </w:rPr>
        <w:t>（一）负责起草常委会会议、主任会议及其它重要会议的准备工作，负责会议记录、整理会议纪要。</w:t>
      </w:r>
    </w:p>
    <w:p>
      <w:pPr>
        <w:rPr>
          <w:rFonts w:ascii="仿宋" w:hAnsi="仿宋" w:eastAsia="仿宋"/>
          <w:sz w:val="32"/>
          <w:szCs w:val="32"/>
        </w:rPr>
      </w:pPr>
      <w:r>
        <w:rPr>
          <w:rFonts w:hint="eastAsia" w:ascii="仿宋" w:hAnsi="仿宋" w:eastAsia="仿宋"/>
          <w:sz w:val="32"/>
          <w:szCs w:val="32"/>
        </w:rPr>
        <w:t>（二）负责起草县人大常委会全年工作计划及年度工作总结；负责起草县人大常委会综合性文件，领导讲话的起草、修改、送审、印发及情况反馈；编印《会刊》、《会议纪要》等人大内刊。</w:t>
      </w:r>
    </w:p>
    <w:p>
      <w:pPr>
        <w:rPr>
          <w:rFonts w:ascii="仿宋" w:hAnsi="仿宋" w:eastAsia="仿宋"/>
          <w:sz w:val="32"/>
          <w:szCs w:val="32"/>
        </w:rPr>
      </w:pPr>
      <w:r>
        <w:rPr>
          <w:rFonts w:hint="eastAsia" w:ascii="仿宋" w:hAnsi="仿宋" w:eastAsia="仿宋"/>
          <w:sz w:val="32"/>
          <w:szCs w:val="32"/>
        </w:rPr>
        <w:t>（三）负责人大常委会文件、资料的收发、传递、催办、承办、归档立卷、纪要通信、保密等工作，负责人大常委会及办公室印章管理。</w:t>
      </w:r>
    </w:p>
    <w:p>
      <w:pPr>
        <w:rPr>
          <w:rFonts w:ascii="仿宋" w:hAnsi="仿宋" w:eastAsia="仿宋"/>
          <w:sz w:val="32"/>
          <w:szCs w:val="32"/>
        </w:rPr>
      </w:pPr>
      <w:r>
        <w:rPr>
          <w:rFonts w:hint="eastAsia" w:ascii="仿宋" w:hAnsi="仿宋" w:eastAsia="仿宋"/>
          <w:sz w:val="32"/>
          <w:szCs w:val="32"/>
        </w:rPr>
        <w:t>（四）负责人大代表及群众来信来访工作，接待群众来访，接转群众信访，承办领导批办信访案件，督查、督办信访案件落实情况，总结信访经验，了解民情动向。</w:t>
      </w:r>
    </w:p>
    <w:p>
      <w:pPr>
        <w:rPr>
          <w:rFonts w:ascii="仿宋" w:hAnsi="仿宋" w:eastAsia="仿宋"/>
          <w:sz w:val="32"/>
          <w:szCs w:val="32"/>
        </w:rPr>
      </w:pPr>
      <w:r>
        <w:rPr>
          <w:rFonts w:hint="eastAsia" w:ascii="仿宋" w:hAnsi="仿宋" w:eastAsia="仿宋"/>
          <w:sz w:val="32"/>
          <w:szCs w:val="32"/>
        </w:rPr>
        <w:t>（五）负责机关行政、财务、统计、后勤服务，职工福利、安全保卫、房产、车辆管理、卫生工作。</w:t>
      </w:r>
    </w:p>
    <w:p>
      <w:pPr>
        <w:rPr>
          <w:rFonts w:ascii="仿宋" w:hAnsi="仿宋" w:eastAsia="仿宋"/>
          <w:sz w:val="32"/>
          <w:szCs w:val="32"/>
        </w:rPr>
      </w:pPr>
      <w:r>
        <w:rPr>
          <w:rFonts w:hint="eastAsia" w:ascii="仿宋" w:hAnsi="仿宋" w:eastAsia="仿宋"/>
          <w:sz w:val="32"/>
          <w:szCs w:val="32"/>
        </w:rPr>
        <w:t>（六）承办机关干部、职工退休事宜，做好离退休老干部服务工作。</w:t>
      </w:r>
    </w:p>
    <w:p>
      <w:pPr>
        <w:ind w:firstLine="640" w:firstLineChars="200"/>
        <w:rPr>
          <w:rFonts w:ascii="仿宋" w:hAnsi="仿宋" w:eastAsia="仿宋"/>
          <w:sz w:val="32"/>
          <w:szCs w:val="32"/>
        </w:rPr>
      </w:pPr>
      <w:r>
        <w:rPr>
          <w:rFonts w:hint="eastAsia" w:ascii="仿宋" w:hAnsi="仿宋" w:eastAsia="仿宋"/>
          <w:sz w:val="32"/>
          <w:szCs w:val="32"/>
        </w:rPr>
        <w:t>二、政法科</w:t>
      </w:r>
    </w:p>
    <w:p>
      <w:pPr>
        <w:ind w:firstLine="640" w:firstLineChars="200"/>
        <w:rPr>
          <w:rFonts w:ascii="仿宋" w:hAnsi="仿宋" w:eastAsia="仿宋"/>
          <w:sz w:val="32"/>
          <w:szCs w:val="32"/>
        </w:rPr>
      </w:pPr>
      <w:r>
        <w:rPr>
          <w:rFonts w:hint="eastAsia" w:ascii="仿宋" w:hAnsi="仿宋" w:eastAsia="仿宋"/>
          <w:sz w:val="32"/>
          <w:szCs w:val="32"/>
        </w:rPr>
        <w:t>负责宪法、法律及地方性法规现在我县的贯彻落实情况和法制建设，法制宣传教育情况的调查研究；对“一府两院”在司法、检察、公安、民政等工作方面贯彻执行有关法律、法规情况的检查和调查，为人大常委会依法监督提供依据。</w:t>
      </w:r>
    </w:p>
    <w:p>
      <w:pPr>
        <w:ind w:firstLine="640" w:firstLineChars="200"/>
        <w:rPr>
          <w:rFonts w:ascii="仿宋" w:hAnsi="仿宋" w:eastAsia="仿宋"/>
          <w:sz w:val="32"/>
          <w:szCs w:val="32"/>
        </w:rPr>
      </w:pPr>
      <w:r>
        <w:rPr>
          <w:rFonts w:hint="eastAsia" w:ascii="仿宋" w:hAnsi="仿宋" w:eastAsia="仿宋"/>
          <w:sz w:val="32"/>
          <w:szCs w:val="32"/>
        </w:rPr>
        <w:t>负责对“一府两院”向人大常委会提请的法制工作方面的议案初审，并视需要起草决议草案。</w:t>
      </w:r>
    </w:p>
    <w:p>
      <w:pPr>
        <w:ind w:firstLine="640" w:firstLineChars="200"/>
        <w:rPr>
          <w:rFonts w:ascii="仿宋" w:hAnsi="仿宋" w:eastAsia="仿宋"/>
          <w:sz w:val="32"/>
          <w:szCs w:val="32"/>
        </w:rPr>
      </w:pPr>
      <w:r>
        <w:rPr>
          <w:rFonts w:hint="eastAsia" w:ascii="仿宋" w:hAnsi="仿宋" w:eastAsia="仿宋"/>
          <w:sz w:val="32"/>
          <w:szCs w:val="32"/>
        </w:rPr>
        <w:t>负责“一府两院”提请人大常委会有关法制、民族、宗教等项工作报告的初审工作，为人大常委会审议报告做好准备。</w:t>
      </w:r>
    </w:p>
    <w:p>
      <w:pPr>
        <w:ind w:firstLine="640" w:firstLineChars="200"/>
        <w:rPr>
          <w:rFonts w:ascii="仿宋" w:hAnsi="仿宋" w:eastAsia="仿宋"/>
          <w:sz w:val="32"/>
          <w:szCs w:val="32"/>
        </w:rPr>
      </w:pPr>
      <w:r>
        <w:rPr>
          <w:rFonts w:hint="eastAsia" w:ascii="仿宋" w:hAnsi="仿宋" w:eastAsia="仿宋"/>
          <w:sz w:val="32"/>
          <w:szCs w:val="32"/>
        </w:rPr>
        <w:t>三、经济科</w:t>
      </w:r>
    </w:p>
    <w:p>
      <w:pPr>
        <w:ind w:firstLine="640" w:firstLineChars="200"/>
        <w:rPr>
          <w:rFonts w:ascii="仿宋" w:hAnsi="仿宋" w:eastAsia="仿宋"/>
          <w:sz w:val="32"/>
          <w:szCs w:val="32"/>
        </w:rPr>
      </w:pPr>
      <w:r>
        <w:rPr>
          <w:rFonts w:hint="eastAsia" w:ascii="仿宋" w:hAnsi="仿宋" w:eastAsia="仿宋"/>
          <w:sz w:val="32"/>
          <w:szCs w:val="32"/>
        </w:rPr>
        <w:t>负责对经济部门贯彻执行法律、法规情况的调研、检查。</w:t>
      </w:r>
    </w:p>
    <w:p>
      <w:pPr>
        <w:ind w:firstLine="640" w:firstLineChars="200"/>
        <w:rPr>
          <w:rFonts w:ascii="仿宋" w:hAnsi="仿宋" w:eastAsia="仿宋"/>
          <w:sz w:val="32"/>
          <w:szCs w:val="32"/>
        </w:rPr>
      </w:pPr>
      <w:r>
        <w:rPr>
          <w:rFonts w:hint="eastAsia" w:ascii="仿宋" w:hAnsi="仿宋" w:eastAsia="仿宋"/>
          <w:sz w:val="32"/>
          <w:szCs w:val="32"/>
        </w:rPr>
        <w:t>为县人大长尾夹审议经济部门工作，提出初步意见，起草决议草案。</w:t>
      </w:r>
    </w:p>
    <w:p>
      <w:pPr>
        <w:ind w:firstLine="640" w:firstLineChars="200"/>
        <w:rPr>
          <w:rFonts w:ascii="仿宋" w:hAnsi="仿宋" w:eastAsia="仿宋"/>
          <w:sz w:val="32"/>
          <w:szCs w:val="32"/>
        </w:rPr>
      </w:pPr>
      <w:r>
        <w:rPr>
          <w:rFonts w:hint="eastAsia" w:ascii="仿宋" w:hAnsi="仿宋" w:eastAsia="仿宋"/>
          <w:sz w:val="32"/>
          <w:szCs w:val="32"/>
        </w:rPr>
        <w:t>对经济方面的重大问题进行调查，提出调查报告。</w:t>
      </w:r>
    </w:p>
    <w:p>
      <w:pPr>
        <w:ind w:firstLine="640" w:firstLineChars="200"/>
        <w:rPr>
          <w:rFonts w:ascii="仿宋" w:hAnsi="仿宋" w:eastAsia="仿宋"/>
          <w:sz w:val="32"/>
          <w:szCs w:val="32"/>
        </w:rPr>
      </w:pPr>
      <w:r>
        <w:rPr>
          <w:rFonts w:hint="eastAsia" w:ascii="仿宋" w:hAnsi="仿宋" w:eastAsia="仿宋"/>
          <w:sz w:val="32"/>
          <w:szCs w:val="32"/>
        </w:rPr>
        <w:t>四、文卫科</w:t>
      </w:r>
    </w:p>
    <w:p>
      <w:pPr>
        <w:ind w:firstLine="640" w:firstLineChars="200"/>
        <w:rPr>
          <w:rFonts w:ascii="仿宋" w:hAnsi="仿宋" w:eastAsia="仿宋"/>
          <w:sz w:val="32"/>
          <w:szCs w:val="32"/>
        </w:rPr>
      </w:pPr>
      <w:r>
        <w:rPr>
          <w:rFonts w:hint="eastAsia" w:ascii="仿宋" w:hAnsi="仿宋" w:eastAsia="仿宋"/>
          <w:sz w:val="32"/>
          <w:szCs w:val="32"/>
        </w:rPr>
        <w:t>负责对县政府在教育、科技、文体、计生等工作方面贯彻执行法律法规的检查和调查研究，为人大常委会依法监督提供依据。</w:t>
      </w:r>
    </w:p>
    <w:p>
      <w:pPr>
        <w:ind w:firstLine="640" w:firstLineChars="200"/>
        <w:rPr>
          <w:rFonts w:ascii="仿宋" w:hAnsi="仿宋" w:eastAsia="仿宋"/>
          <w:sz w:val="32"/>
          <w:szCs w:val="32"/>
        </w:rPr>
      </w:pPr>
      <w:r>
        <w:rPr>
          <w:rFonts w:hint="eastAsia" w:ascii="仿宋" w:hAnsi="仿宋" w:eastAsia="仿宋"/>
          <w:sz w:val="32"/>
          <w:szCs w:val="32"/>
        </w:rPr>
        <w:t>为县人大常委会审议教科文卫计生工作提出初步意见，起草决议草案。</w:t>
      </w:r>
    </w:p>
    <w:p>
      <w:pPr>
        <w:ind w:firstLine="640" w:firstLineChars="200"/>
        <w:rPr>
          <w:rFonts w:ascii="仿宋" w:hAnsi="仿宋" w:eastAsia="仿宋"/>
          <w:b/>
          <w:sz w:val="32"/>
          <w:szCs w:val="32"/>
        </w:rPr>
      </w:pPr>
      <w:r>
        <w:rPr>
          <w:rFonts w:hint="eastAsia" w:ascii="仿宋" w:hAnsi="仿宋" w:eastAsia="仿宋"/>
          <w:sz w:val="32"/>
          <w:szCs w:val="32"/>
        </w:rPr>
        <w:t>对全县教、科、文、卫、计生等方面的重大问题进行调查，提出调查报告。</w:t>
      </w:r>
    </w:p>
    <w:p>
      <w:pPr>
        <w:ind w:firstLine="640" w:firstLineChars="200"/>
        <w:rPr>
          <w:rFonts w:ascii="仿宋" w:hAnsi="仿宋" w:eastAsia="仿宋"/>
          <w:sz w:val="32"/>
          <w:szCs w:val="32"/>
        </w:rPr>
      </w:pPr>
      <w:r>
        <w:rPr>
          <w:rFonts w:hint="eastAsia" w:ascii="仿宋" w:hAnsi="仿宋" w:eastAsia="仿宋"/>
          <w:sz w:val="32"/>
          <w:szCs w:val="32"/>
        </w:rPr>
        <w:t>五、代表联络科</w:t>
      </w:r>
    </w:p>
    <w:p>
      <w:pPr>
        <w:ind w:firstLine="640" w:firstLineChars="200"/>
        <w:rPr>
          <w:rFonts w:ascii="仿宋" w:hAnsi="仿宋" w:eastAsia="仿宋"/>
          <w:sz w:val="32"/>
          <w:szCs w:val="32"/>
        </w:rPr>
      </w:pPr>
      <w:r>
        <w:rPr>
          <w:rFonts w:hint="eastAsia" w:ascii="仿宋" w:hAnsi="仿宋" w:eastAsia="仿宋"/>
          <w:sz w:val="32"/>
          <w:szCs w:val="32"/>
        </w:rPr>
        <w:t>负责县人大常委会交办的人民代表选举工作的具体事宜；负责联系、指导各乡镇人大代表的选举和人代会的召开等。</w:t>
      </w:r>
    </w:p>
    <w:p>
      <w:pPr>
        <w:ind w:firstLine="640" w:firstLineChars="200"/>
        <w:rPr>
          <w:rFonts w:ascii="仿宋" w:hAnsi="仿宋" w:eastAsia="仿宋" w:cs="Times New Roman"/>
          <w:color w:val="FF0000"/>
          <w:sz w:val="32"/>
          <w:szCs w:val="32"/>
        </w:rPr>
      </w:pPr>
      <w:r>
        <w:rPr>
          <w:rFonts w:hint="eastAsia" w:ascii="仿宋" w:hAnsi="仿宋" w:eastAsia="仿宋"/>
          <w:sz w:val="32"/>
          <w:szCs w:val="32"/>
        </w:rPr>
        <w:t>负责联系县人大代表、组织安排代表活动，掌握代表的变动情况和补选出缺代表事宜；做好代表方案、建议、批评和意见的处理结果的答复。</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7"/>
        <w:tblW w:w="9755"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13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90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香河县</w:t>
            </w:r>
            <w:r>
              <w:rPr>
                <w:rFonts w:hint="eastAsia" w:ascii="宋体" w:hAnsi="宋体" w:cs="宋体"/>
                <w:szCs w:val="24"/>
              </w:rPr>
              <w:t>人大</w:t>
            </w:r>
          </w:p>
        </w:tc>
        <w:tc>
          <w:tcPr>
            <w:tcW w:w="1134" w:type="dxa"/>
            <w:shd w:val="clear" w:color="auto" w:fill="auto"/>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行政</w:t>
            </w:r>
          </w:p>
        </w:tc>
        <w:tc>
          <w:tcPr>
            <w:tcW w:w="1276" w:type="dxa"/>
            <w:shd w:val="clear" w:color="auto" w:fill="auto"/>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正处级</w:t>
            </w:r>
          </w:p>
        </w:tc>
        <w:tc>
          <w:tcPr>
            <w:tcW w:w="2902" w:type="dxa"/>
            <w:shd w:val="clear" w:color="auto" w:fill="auto"/>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bl>
    <w:p>
      <w:pPr>
        <w:ind w:firstLine="640"/>
        <w:rPr>
          <w:rFonts w:ascii="黑体" w:hAnsi="黑体" w:eastAsia="黑体" w:cs="Times New Roman"/>
          <w:sz w:val="32"/>
          <w:szCs w:val="32"/>
        </w:rPr>
      </w:pPr>
    </w:p>
    <w:p>
      <w:pPr>
        <w:ind w:firstLine="64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w:t>
      </w:r>
      <w:r>
        <w:rPr>
          <w:rFonts w:hint="eastAsia" w:ascii="仿宋" w:hAnsi="仿宋" w:eastAsia="仿宋" w:cs="Times New Roman"/>
          <w:sz w:val="32"/>
          <w:szCs w:val="32"/>
        </w:rPr>
        <w:t>县</w:t>
      </w:r>
      <w:r>
        <w:rPr>
          <w:rFonts w:ascii="仿宋" w:hAnsi="仿宋" w:eastAsia="仿宋" w:cs="Times New Roman"/>
          <w:sz w:val="32"/>
          <w:szCs w:val="32"/>
        </w:rPr>
        <w:t>部门预算的编制实行综合预算制度，即全部收入和支出都反映</w:t>
      </w:r>
      <w:r>
        <w:rPr>
          <w:rFonts w:hint="eastAsia" w:ascii="仿宋" w:hAnsi="仿宋" w:eastAsia="仿宋" w:cs="Times New Roman"/>
          <w:sz w:val="32"/>
          <w:szCs w:val="32"/>
        </w:rPr>
        <w:t>在</w:t>
      </w:r>
      <w:r>
        <w:rPr>
          <w:rFonts w:ascii="仿宋" w:hAnsi="仿宋" w:eastAsia="仿宋" w:cs="Times New Roman"/>
          <w:sz w:val="32"/>
          <w:szCs w:val="32"/>
        </w:rPr>
        <w:t>预算中。</w:t>
      </w:r>
    </w:p>
    <w:p>
      <w:pPr>
        <w:ind w:firstLine="640"/>
        <w:rPr>
          <w:rFonts w:ascii="楷体" w:hAnsi="楷体" w:eastAsia="楷体" w:cs="Times New Roman"/>
          <w:b/>
          <w:sz w:val="32"/>
          <w:szCs w:val="32"/>
        </w:rPr>
      </w:pPr>
      <w:r>
        <w:rPr>
          <w:rFonts w:ascii="楷体" w:hAnsi="楷体" w:eastAsia="楷体" w:cs="Times New Roman"/>
          <w:b/>
          <w:sz w:val="32"/>
          <w:szCs w:val="32"/>
        </w:rPr>
        <w:t>1、收入说明</w:t>
      </w:r>
    </w:p>
    <w:p>
      <w:pPr>
        <w:ind w:firstLine="640"/>
        <w:rPr>
          <w:rFonts w:ascii="仿宋" w:hAnsi="仿宋" w:eastAsia="仿宋" w:cs="Times New Roman"/>
          <w:sz w:val="32"/>
          <w:szCs w:val="32"/>
        </w:rPr>
      </w:pPr>
      <w:r>
        <w:rPr>
          <w:rFonts w:ascii="仿宋" w:hAnsi="仿宋" w:eastAsia="仿宋" w:cs="Times New Roman"/>
          <w:sz w:val="32"/>
          <w:szCs w:val="32"/>
        </w:rPr>
        <w:t>反映本部门当年全部收入。201</w:t>
      </w:r>
      <w:r>
        <w:rPr>
          <w:rFonts w:hint="eastAsia" w:ascii="仿宋" w:hAnsi="仿宋" w:eastAsia="仿宋" w:cs="Times New Roman"/>
          <w:sz w:val="32"/>
          <w:szCs w:val="32"/>
        </w:rPr>
        <w:t>8</w:t>
      </w:r>
      <w:r>
        <w:rPr>
          <w:rFonts w:ascii="仿宋" w:hAnsi="仿宋" w:eastAsia="仿宋" w:cs="Times New Roman"/>
          <w:sz w:val="32"/>
          <w:szCs w:val="32"/>
        </w:rPr>
        <w:t>年预算收入</w:t>
      </w:r>
      <w:r>
        <w:rPr>
          <w:rFonts w:hint="eastAsia" w:ascii="仿宋" w:hAnsi="仿宋" w:eastAsia="仿宋" w:cs="Times New Roman"/>
          <w:sz w:val="32"/>
          <w:szCs w:val="32"/>
        </w:rPr>
        <w:t>总额987.6</w:t>
      </w:r>
      <w:r>
        <w:rPr>
          <w:rFonts w:ascii="仿宋" w:hAnsi="仿宋" w:eastAsia="仿宋" w:cs="Times New Roman"/>
          <w:sz w:val="32"/>
          <w:szCs w:val="32"/>
        </w:rPr>
        <w:t>万元，其中：</w:t>
      </w:r>
      <w:r>
        <w:rPr>
          <w:rFonts w:hint="eastAsia" w:ascii="仿宋" w:hAnsi="仿宋" w:eastAsia="仿宋" w:cs="Times New Roman"/>
          <w:sz w:val="32"/>
          <w:szCs w:val="32"/>
        </w:rPr>
        <w:t>财政拨款收入987.6</w:t>
      </w:r>
      <w:r>
        <w:rPr>
          <w:rFonts w:ascii="仿宋" w:hAnsi="仿宋" w:eastAsia="仿宋" w:cs="Times New Roman"/>
          <w:sz w:val="32"/>
          <w:szCs w:val="32"/>
        </w:rPr>
        <w:t>万元</w:t>
      </w:r>
      <w:r>
        <w:rPr>
          <w:rFonts w:hint="eastAsia" w:ascii="仿宋" w:hAnsi="仿宋" w:eastAsia="仿宋" w:cs="Times New Roman"/>
          <w:sz w:val="32"/>
          <w:szCs w:val="32"/>
        </w:rPr>
        <w:t>（包括一般公共预算987.6</w:t>
      </w:r>
      <w:r>
        <w:rPr>
          <w:rFonts w:ascii="仿宋" w:hAnsi="仿宋" w:eastAsia="仿宋" w:cs="Times New Roman"/>
          <w:sz w:val="32"/>
          <w:szCs w:val="32"/>
        </w:rPr>
        <w:t>万元</w:t>
      </w:r>
      <w:r>
        <w:rPr>
          <w:rFonts w:hint="eastAsia" w:ascii="仿宋" w:hAnsi="仿宋" w:eastAsia="仿宋" w:cs="Times New Roman"/>
          <w:sz w:val="32"/>
          <w:szCs w:val="32"/>
        </w:rPr>
        <w:t>、政府性基金预算0</w:t>
      </w:r>
      <w:r>
        <w:rPr>
          <w:rFonts w:ascii="仿宋" w:hAnsi="仿宋" w:eastAsia="仿宋" w:cs="Times New Roman"/>
          <w:sz w:val="32"/>
          <w:szCs w:val="32"/>
        </w:rPr>
        <w:t>万元</w:t>
      </w:r>
      <w:r>
        <w:rPr>
          <w:rFonts w:hint="eastAsia" w:ascii="仿宋" w:hAnsi="仿宋" w:eastAsia="仿宋" w:cs="Times New Roman"/>
          <w:sz w:val="32"/>
          <w:szCs w:val="32"/>
        </w:rPr>
        <w:t>、国有资本经营预算0</w:t>
      </w:r>
      <w:r>
        <w:rPr>
          <w:rFonts w:ascii="仿宋" w:hAnsi="仿宋" w:eastAsia="仿宋" w:cs="Times New Roman"/>
          <w:sz w:val="32"/>
          <w:szCs w:val="32"/>
        </w:rPr>
        <w:t>万元</w:t>
      </w:r>
      <w:r>
        <w:rPr>
          <w:rFonts w:hint="eastAsia" w:ascii="仿宋" w:hAnsi="仿宋" w:eastAsia="仿宋" w:cs="Times New Roman"/>
          <w:sz w:val="32"/>
          <w:szCs w:val="32"/>
        </w:rPr>
        <w:t>）、上级补助收入0</w:t>
      </w:r>
      <w:r>
        <w:rPr>
          <w:rFonts w:ascii="仿宋" w:hAnsi="仿宋" w:eastAsia="仿宋" w:cs="Times New Roman"/>
          <w:sz w:val="32"/>
          <w:szCs w:val="32"/>
        </w:rPr>
        <w:t>万元</w:t>
      </w:r>
      <w:r>
        <w:rPr>
          <w:rFonts w:hint="eastAsia" w:ascii="仿宋" w:hAnsi="仿宋" w:eastAsia="仿宋" w:cs="Times New Roman"/>
          <w:sz w:val="32"/>
          <w:szCs w:val="32"/>
        </w:rPr>
        <w:t>、事业收入0</w:t>
      </w:r>
      <w:r>
        <w:rPr>
          <w:rFonts w:ascii="仿宋" w:hAnsi="仿宋" w:eastAsia="仿宋" w:cs="Times New Roman"/>
          <w:sz w:val="32"/>
          <w:szCs w:val="32"/>
        </w:rPr>
        <w:t>万元</w:t>
      </w:r>
      <w:r>
        <w:rPr>
          <w:rFonts w:hint="eastAsia" w:ascii="仿宋" w:hAnsi="仿宋" w:eastAsia="仿宋" w:cs="Times New Roman"/>
          <w:sz w:val="32"/>
          <w:szCs w:val="32"/>
        </w:rPr>
        <w:t>、经营收入0</w:t>
      </w:r>
      <w:r>
        <w:rPr>
          <w:rFonts w:ascii="仿宋" w:hAnsi="仿宋" w:eastAsia="仿宋" w:cs="Times New Roman"/>
          <w:sz w:val="32"/>
          <w:szCs w:val="32"/>
        </w:rPr>
        <w:t>万元</w:t>
      </w:r>
      <w:r>
        <w:rPr>
          <w:rFonts w:hint="eastAsia" w:ascii="仿宋" w:hAnsi="仿宋" w:eastAsia="仿宋" w:cs="Times New Roman"/>
          <w:sz w:val="32"/>
          <w:szCs w:val="32"/>
        </w:rPr>
        <w:t>、附属单位上缴收入0</w:t>
      </w:r>
      <w:r>
        <w:rPr>
          <w:rFonts w:ascii="仿宋" w:hAnsi="仿宋" w:eastAsia="仿宋" w:cs="Times New Roman"/>
          <w:sz w:val="32"/>
          <w:szCs w:val="32"/>
        </w:rPr>
        <w:t>万元</w:t>
      </w:r>
      <w:r>
        <w:rPr>
          <w:rFonts w:hint="eastAsia" w:ascii="仿宋" w:hAnsi="仿宋" w:eastAsia="仿宋" w:cs="Times New Roman"/>
          <w:sz w:val="32"/>
          <w:szCs w:val="32"/>
        </w:rPr>
        <w:t>、其他收入0</w:t>
      </w:r>
      <w:r>
        <w:rPr>
          <w:rFonts w:ascii="仿宋" w:hAnsi="仿宋" w:eastAsia="仿宋" w:cs="Times New Roman"/>
          <w:sz w:val="32"/>
          <w:szCs w:val="32"/>
        </w:rPr>
        <w:t>万元</w:t>
      </w:r>
      <w:r>
        <w:rPr>
          <w:rFonts w:hint="eastAsia" w:ascii="仿宋" w:hAnsi="仿宋" w:eastAsia="仿宋" w:cs="Times New Roman"/>
          <w:sz w:val="32"/>
          <w:szCs w:val="32"/>
        </w:rPr>
        <w:t>。</w:t>
      </w:r>
    </w:p>
    <w:p>
      <w:pPr>
        <w:ind w:firstLine="640"/>
        <w:rPr>
          <w:rFonts w:ascii="楷体" w:hAnsi="楷体" w:eastAsia="楷体" w:cs="Times New Roman"/>
          <w:b/>
          <w:sz w:val="32"/>
          <w:szCs w:val="32"/>
        </w:rPr>
      </w:pPr>
      <w:r>
        <w:rPr>
          <w:rFonts w:ascii="楷体" w:hAnsi="楷体" w:eastAsia="楷体" w:cs="Times New Roman"/>
          <w:b/>
          <w:sz w:val="32"/>
          <w:szCs w:val="32"/>
        </w:rPr>
        <w:t>2、支出说明</w:t>
      </w:r>
    </w:p>
    <w:p>
      <w:pPr>
        <w:ind w:firstLine="640"/>
        <w:rPr>
          <w:rFonts w:ascii="仿宋" w:hAnsi="仿宋" w:eastAsia="仿宋" w:cs="Times New Roman"/>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香河县人大</w:t>
      </w:r>
      <w:r>
        <w:rPr>
          <w:rFonts w:ascii="仿宋" w:hAnsi="仿宋" w:eastAsia="仿宋" w:cs="Times New Roman"/>
          <w:sz w:val="32"/>
          <w:szCs w:val="32"/>
        </w:rPr>
        <w:t>年度部门预算中支出预算的总体情况。201</w:t>
      </w:r>
      <w:r>
        <w:rPr>
          <w:rFonts w:hint="eastAsia" w:ascii="仿宋" w:hAnsi="仿宋" w:eastAsia="仿宋" w:cs="Times New Roman"/>
          <w:sz w:val="32"/>
          <w:szCs w:val="32"/>
        </w:rPr>
        <w:t>8</w:t>
      </w:r>
      <w:r>
        <w:rPr>
          <w:rFonts w:ascii="仿宋" w:hAnsi="仿宋" w:eastAsia="仿宋" w:cs="Times New Roman"/>
          <w:sz w:val="32"/>
          <w:szCs w:val="32"/>
        </w:rPr>
        <w:t>年支出预算</w:t>
      </w:r>
      <w:r>
        <w:rPr>
          <w:rFonts w:hint="eastAsia" w:ascii="仿宋" w:hAnsi="仿宋" w:eastAsia="仿宋" w:cs="Times New Roman"/>
          <w:sz w:val="32"/>
          <w:szCs w:val="32"/>
        </w:rPr>
        <w:t>987.6</w:t>
      </w:r>
      <w:r>
        <w:rPr>
          <w:rFonts w:ascii="仿宋" w:hAnsi="仿宋" w:eastAsia="仿宋" w:cs="Times New Roman"/>
          <w:sz w:val="32"/>
          <w:szCs w:val="32"/>
        </w:rPr>
        <w:t>万元，其中基本支出</w:t>
      </w:r>
      <w:r>
        <w:rPr>
          <w:rFonts w:hint="eastAsia" w:ascii="仿宋" w:hAnsi="仿宋" w:eastAsia="仿宋" w:cs="Times New Roman"/>
          <w:sz w:val="32"/>
          <w:szCs w:val="32"/>
        </w:rPr>
        <w:t>909.6</w:t>
      </w:r>
      <w:r>
        <w:rPr>
          <w:rFonts w:ascii="仿宋" w:hAnsi="仿宋" w:eastAsia="仿宋" w:cs="Times New Roman"/>
          <w:sz w:val="32"/>
          <w:szCs w:val="32"/>
        </w:rPr>
        <w:t>万元，包括人员经费</w:t>
      </w:r>
      <w:r>
        <w:rPr>
          <w:rFonts w:hint="eastAsia" w:ascii="仿宋" w:hAnsi="仿宋" w:eastAsia="仿宋" w:cs="Times New Roman"/>
          <w:sz w:val="32"/>
          <w:szCs w:val="32"/>
          <w:lang w:val="en-US" w:eastAsia="zh-CN"/>
        </w:rPr>
        <w:t>718.41万元</w:t>
      </w:r>
      <w:r>
        <w:rPr>
          <w:rFonts w:ascii="仿宋" w:hAnsi="仿宋" w:eastAsia="仿宋" w:cs="Times New Roman"/>
          <w:sz w:val="32"/>
          <w:szCs w:val="32"/>
        </w:rPr>
        <w:t>和日常公用经费</w:t>
      </w:r>
      <w:r>
        <w:rPr>
          <w:rFonts w:hint="eastAsia" w:ascii="仿宋" w:hAnsi="仿宋" w:eastAsia="仿宋" w:cs="Times New Roman"/>
          <w:sz w:val="32"/>
          <w:szCs w:val="32"/>
          <w:lang w:val="en-US" w:eastAsia="zh-CN"/>
        </w:rPr>
        <w:t>191.19万元</w:t>
      </w:r>
      <w:r>
        <w:rPr>
          <w:rFonts w:ascii="仿宋" w:hAnsi="仿宋" w:eastAsia="仿宋" w:cs="Times New Roman"/>
          <w:sz w:val="32"/>
          <w:szCs w:val="32"/>
        </w:rPr>
        <w:t>；项目支出</w:t>
      </w:r>
      <w:r>
        <w:rPr>
          <w:rFonts w:hint="eastAsia" w:ascii="仿宋" w:hAnsi="仿宋" w:eastAsia="仿宋" w:cs="Times New Roman"/>
          <w:sz w:val="32"/>
          <w:szCs w:val="32"/>
        </w:rPr>
        <w:t>78</w:t>
      </w:r>
      <w:r>
        <w:rPr>
          <w:rFonts w:ascii="仿宋" w:hAnsi="仿宋" w:eastAsia="仿宋" w:cs="Times New Roman"/>
          <w:sz w:val="32"/>
          <w:szCs w:val="32"/>
        </w:rPr>
        <w:t>万元，包括本级支出</w:t>
      </w:r>
      <w:r>
        <w:rPr>
          <w:rFonts w:hint="eastAsia" w:ascii="仿宋" w:hAnsi="仿宋" w:eastAsia="仿宋" w:cs="Times New Roman"/>
          <w:sz w:val="32"/>
          <w:szCs w:val="32"/>
        </w:rPr>
        <w:t>78</w:t>
      </w:r>
      <w:r>
        <w:rPr>
          <w:rFonts w:ascii="仿宋" w:hAnsi="仿宋" w:eastAsia="仿宋" w:cs="Times New Roman"/>
          <w:sz w:val="32"/>
          <w:szCs w:val="32"/>
        </w:rPr>
        <w:t>万元和对下补助支出</w:t>
      </w:r>
      <w:r>
        <w:rPr>
          <w:rFonts w:hint="eastAsia" w:ascii="仿宋" w:hAnsi="仿宋" w:eastAsia="仿宋" w:cs="Times New Roman"/>
          <w:sz w:val="32"/>
          <w:szCs w:val="32"/>
        </w:rPr>
        <w:t>0</w:t>
      </w:r>
      <w:r>
        <w:rPr>
          <w:rFonts w:ascii="仿宋" w:hAnsi="仿宋" w:eastAsia="仿宋" w:cs="Times New Roman"/>
          <w:sz w:val="32"/>
          <w:szCs w:val="32"/>
        </w:rPr>
        <w:t>万元，主要为</w:t>
      </w:r>
      <w:r>
        <w:rPr>
          <w:rFonts w:hint="eastAsia" w:ascii="仿宋" w:hAnsi="仿宋" w:eastAsia="仿宋" w:cs="Times New Roman"/>
          <w:sz w:val="32"/>
          <w:szCs w:val="32"/>
        </w:rPr>
        <w:t>专项业务项目</w:t>
      </w:r>
      <w:r>
        <w:rPr>
          <w:rFonts w:ascii="仿宋" w:hAnsi="仿宋" w:eastAsia="仿宋" w:cs="Times New Roman"/>
          <w:sz w:val="32"/>
          <w:szCs w:val="32"/>
        </w:rPr>
        <w:t>、</w:t>
      </w:r>
      <w:r>
        <w:rPr>
          <w:rFonts w:hint="eastAsia" w:ascii="仿宋" w:hAnsi="仿宋" w:eastAsia="仿宋" w:cs="Times New Roman"/>
          <w:sz w:val="32"/>
          <w:szCs w:val="32"/>
        </w:rPr>
        <w:t>基建项目</w:t>
      </w:r>
      <w:r>
        <w:rPr>
          <w:rFonts w:ascii="仿宋" w:hAnsi="仿宋" w:eastAsia="仿宋" w:cs="Times New Roman"/>
          <w:sz w:val="32"/>
          <w:szCs w:val="32"/>
        </w:rPr>
        <w:t>等；上缴上级支出</w:t>
      </w:r>
      <w:r>
        <w:rPr>
          <w:rFonts w:hint="eastAsia" w:ascii="仿宋" w:hAnsi="仿宋" w:eastAsia="仿宋" w:cs="Times New Roman"/>
          <w:sz w:val="32"/>
          <w:szCs w:val="32"/>
        </w:rPr>
        <w:t>0</w:t>
      </w:r>
      <w:r>
        <w:rPr>
          <w:rFonts w:ascii="仿宋" w:hAnsi="仿宋" w:eastAsia="仿宋" w:cs="Times New Roman"/>
          <w:sz w:val="32"/>
          <w:szCs w:val="32"/>
        </w:rPr>
        <w:t>万元；其他支出</w:t>
      </w:r>
      <w:r>
        <w:rPr>
          <w:rFonts w:hint="eastAsia" w:ascii="仿宋" w:hAnsi="仿宋" w:eastAsia="仿宋" w:cs="Times New Roman"/>
          <w:sz w:val="32"/>
          <w:szCs w:val="32"/>
        </w:rPr>
        <w:t>0</w:t>
      </w:r>
      <w:r>
        <w:rPr>
          <w:rFonts w:ascii="仿宋" w:hAnsi="仿宋" w:eastAsia="仿宋" w:cs="Times New Roman"/>
          <w:sz w:val="32"/>
          <w:szCs w:val="32"/>
        </w:rPr>
        <w:t>万元。</w:t>
      </w:r>
    </w:p>
    <w:p>
      <w:pPr>
        <w:ind w:firstLine="640"/>
        <w:rPr>
          <w:rFonts w:ascii="楷体" w:hAnsi="楷体" w:eastAsia="楷体" w:cs="Times New Roman"/>
          <w:b/>
          <w:sz w:val="32"/>
          <w:szCs w:val="32"/>
        </w:rPr>
      </w:pPr>
      <w:r>
        <w:rPr>
          <w:rFonts w:ascii="楷体" w:hAnsi="楷体" w:eastAsia="楷体" w:cs="Times New Roman"/>
          <w:b/>
          <w:sz w:val="32"/>
          <w:szCs w:val="32"/>
        </w:rPr>
        <w:t>3、比上年增减情况</w:t>
      </w:r>
    </w:p>
    <w:p>
      <w:pPr>
        <w:ind w:firstLine="640"/>
        <w:rPr>
          <w:rFonts w:ascii="仿宋" w:hAnsi="仿宋" w:eastAsia="仿宋" w:cs="Times New Roman"/>
          <w:sz w:val="32"/>
          <w:szCs w:val="32"/>
        </w:rPr>
      </w:pPr>
      <w:r>
        <w:rPr>
          <w:rFonts w:ascii="仿宋" w:hAnsi="仿宋" w:eastAsia="仿宋" w:cs="Times New Roman"/>
          <w:sz w:val="32"/>
          <w:szCs w:val="32"/>
        </w:rPr>
        <w:t>2018年预算收支安排</w:t>
      </w:r>
      <w:r>
        <w:rPr>
          <w:rFonts w:hint="eastAsia" w:ascii="仿宋" w:hAnsi="仿宋" w:eastAsia="仿宋" w:cs="Times New Roman"/>
          <w:sz w:val="32"/>
          <w:szCs w:val="32"/>
        </w:rPr>
        <w:t>987.60</w:t>
      </w:r>
      <w:r>
        <w:rPr>
          <w:rFonts w:ascii="仿宋" w:hAnsi="仿宋" w:eastAsia="仿宋" w:cs="Times New Roman"/>
          <w:sz w:val="32"/>
          <w:szCs w:val="32"/>
        </w:rPr>
        <w:t>万元，较2017年预算增加</w:t>
      </w:r>
      <w:r>
        <w:rPr>
          <w:rFonts w:hint="eastAsia" w:ascii="仿宋" w:hAnsi="仿宋" w:eastAsia="仿宋" w:cs="Times New Roman"/>
          <w:sz w:val="32"/>
          <w:szCs w:val="32"/>
        </w:rPr>
        <w:t>306.54</w:t>
      </w:r>
      <w:r>
        <w:rPr>
          <w:rFonts w:ascii="仿宋" w:hAnsi="仿宋" w:eastAsia="仿宋" w:cs="Times New Roman"/>
          <w:sz w:val="32"/>
          <w:szCs w:val="32"/>
        </w:rPr>
        <w:t>万元，其中：基本支出增加</w:t>
      </w:r>
      <w:r>
        <w:rPr>
          <w:rFonts w:hint="eastAsia" w:ascii="仿宋" w:hAnsi="仿宋" w:eastAsia="仿宋" w:cs="Times New Roman"/>
          <w:sz w:val="32"/>
          <w:szCs w:val="32"/>
        </w:rPr>
        <w:t>335.14</w:t>
      </w:r>
      <w:r>
        <w:rPr>
          <w:rFonts w:ascii="仿宋" w:hAnsi="仿宋" w:eastAsia="仿宋" w:cs="Times New Roman"/>
          <w:sz w:val="32"/>
          <w:szCs w:val="32"/>
        </w:rPr>
        <w:t>万元，主要为增加人员经费支出；项目支出</w:t>
      </w:r>
      <w:r>
        <w:rPr>
          <w:rFonts w:hint="eastAsia" w:ascii="仿宋" w:hAnsi="仿宋" w:eastAsia="仿宋" w:cs="Times New Roman"/>
          <w:sz w:val="32"/>
          <w:szCs w:val="32"/>
        </w:rPr>
        <w:t>减少28.6</w:t>
      </w:r>
      <w:r>
        <w:rPr>
          <w:rFonts w:ascii="仿宋" w:hAnsi="仿宋" w:eastAsia="仿宋" w:cs="Times New Roman"/>
          <w:sz w:val="32"/>
          <w:szCs w:val="32"/>
        </w:rPr>
        <w:t>万元，主要为</w:t>
      </w:r>
      <w:r>
        <w:rPr>
          <w:rFonts w:hint="eastAsia" w:ascii="仿宋" w:hAnsi="仿宋" w:eastAsia="仿宋" w:cs="Times New Roman"/>
          <w:sz w:val="32"/>
          <w:szCs w:val="32"/>
        </w:rPr>
        <w:t>专项业务</w:t>
      </w:r>
      <w:r>
        <w:rPr>
          <w:rFonts w:ascii="仿宋" w:hAnsi="仿宋" w:eastAsia="仿宋" w:cs="Times New Roman"/>
          <w:sz w:val="32"/>
          <w:szCs w:val="32"/>
        </w:rPr>
        <w:t>项目支出。</w:t>
      </w:r>
    </w:p>
    <w:p>
      <w:pPr>
        <w:ind w:firstLine="64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198" w:firstLine="640" w:firstLineChars="200"/>
        <w:jc w:val="left"/>
        <w:rPr>
          <w:rFonts w:ascii="仿宋" w:hAnsi="仿宋" w:eastAsia="仿宋" w:cs="Times New Roman"/>
          <w:color w:val="FF0000"/>
          <w:sz w:val="32"/>
          <w:szCs w:val="32"/>
        </w:rPr>
      </w:pPr>
      <w:r>
        <w:rPr>
          <w:rFonts w:ascii="仿宋" w:hAnsi="仿宋" w:eastAsia="仿宋" w:cs="Times New Roman"/>
          <w:sz w:val="32"/>
          <w:szCs w:val="32"/>
        </w:rPr>
        <w:t>2018年机关</w:t>
      </w:r>
      <w:r>
        <w:rPr>
          <w:rFonts w:hint="eastAsia" w:ascii="仿宋" w:hAnsi="仿宋" w:eastAsia="仿宋" w:cs="Times New Roman"/>
          <w:sz w:val="32"/>
          <w:szCs w:val="32"/>
        </w:rPr>
        <w:t>运行经费共计安排191.19万元</w:t>
      </w:r>
      <w:r>
        <w:rPr>
          <w:rFonts w:ascii="仿宋" w:hAnsi="仿宋" w:eastAsia="仿宋" w:cs="Times New Roman"/>
          <w:sz w:val="32"/>
          <w:szCs w:val="32"/>
        </w:rPr>
        <w:t>，主要用于</w:t>
      </w:r>
      <w:r>
        <w:rPr>
          <w:rFonts w:hint="eastAsia" w:ascii="仿宋" w:hAnsi="仿宋" w:eastAsia="仿宋" w:cs="Times New Roman"/>
          <w:sz w:val="32"/>
          <w:szCs w:val="32"/>
        </w:rPr>
        <w:t>人大</w:t>
      </w:r>
      <w:r>
        <w:rPr>
          <w:rFonts w:ascii="仿宋" w:hAnsi="仿宋" w:eastAsia="仿宋" w:cs="Times New Roman"/>
          <w:sz w:val="32"/>
          <w:szCs w:val="32"/>
        </w:rPr>
        <w:t>办公区</w:t>
      </w:r>
      <w:r>
        <w:rPr>
          <w:rFonts w:hint="eastAsia" w:ascii="仿宋" w:hAnsi="仿宋" w:eastAsia="仿宋" w:cs="Times New Roman"/>
          <w:sz w:val="32"/>
          <w:szCs w:val="32"/>
        </w:rPr>
        <w:t>的</w:t>
      </w:r>
      <w:r>
        <w:rPr>
          <w:rFonts w:ascii="仿宋" w:hAnsi="仿宋" w:eastAsia="仿宋" w:cs="Times New Roman"/>
          <w:sz w:val="32"/>
          <w:szCs w:val="32"/>
        </w:rPr>
        <w:t>日常维修、办公用房水电费、办公用房取暖费、办公用房物业管理费</w:t>
      </w:r>
      <w:r>
        <w:rPr>
          <w:rFonts w:hint="eastAsia" w:ascii="仿宋" w:hAnsi="仿宋" w:eastAsia="仿宋" w:cs="Times New Roman"/>
          <w:sz w:val="32"/>
          <w:szCs w:val="32"/>
        </w:rPr>
        <w:t>等</w:t>
      </w:r>
      <w:r>
        <w:rPr>
          <w:rFonts w:ascii="仿宋" w:hAnsi="仿宋" w:eastAsia="仿宋" w:cs="Times New Roman"/>
          <w:sz w:val="32"/>
          <w:szCs w:val="32"/>
        </w:rPr>
        <w:t>日常运行支出。</w:t>
      </w:r>
    </w:p>
    <w:p>
      <w:pPr>
        <w:ind w:firstLine="64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ind w:left="198" w:firstLine="640" w:firstLineChars="200"/>
        <w:jc w:val="left"/>
        <w:rPr>
          <w:rFonts w:ascii="仿宋" w:hAnsi="仿宋" w:eastAsia="仿宋" w:cs="Times New Roman"/>
          <w:sz w:val="32"/>
          <w:szCs w:val="32"/>
        </w:rPr>
      </w:pPr>
      <w:r>
        <w:rPr>
          <w:rFonts w:ascii="仿宋" w:hAnsi="仿宋" w:eastAsia="仿宋" w:cs="Times New Roman"/>
          <w:sz w:val="32"/>
          <w:szCs w:val="32"/>
        </w:rPr>
        <w:t>2018年，</w:t>
      </w:r>
      <w:r>
        <w:rPr>
          <w:rFonts w:hint="eastAsia" w:ascii="仿宋" w:hAnsi="仿宋" w:eastAsia="仿宋" w:cs="Times New Roman"/>
          <w:sz w:val="32"/>
          <w:szCs w:val="32"/>
        </w:rPr>
        <w:t>本部门</w:t>
      </w:r>
      <w:r>
        <w:rPr>
          <w:rFonts w:ascii="仿宋" w:hAnsi="仿宋" w:eastAsia="仿宋" w:cs="Times New Roman"/>
          <w:sz w:val="32"/>
          <w:szCs w:val="32"/>
        </w:rPr>
        <w:t xml:space="preserve"> “三公”经费预算安排</w:t>
      </w:r>
      <w:r>
        <w:rPr>
          <w:rFonts w:hint="eastAsia" w:ascii="仿宋" w:hAnsi="仿宋" w:eastAsia="仿宋" w:cs="Times New Roman"/>
          <w:sz w:val="32"/>
          <w:szCs w:val="32"/>
        </w:rPr>
        <w:t>28.5</w:t>
      </w:r>
      <w:r>
        <w:rPr>
          <w:rFonts w:ascii="仿宋" w:hAnsi="仿宋" w:eastAsia="仿宋" w:cs="Times New Roman"/>
          <w:sz w:val="32"/>
          <w:szCs w:val="32"/>
        </w:rPr>
        <w:t>万元</w:t>
      </w:r>
      <w:r>
        <w:rPr>
          <w:rFonts w:hint="eastAsia" w:ascii="方正仿宋_GBK" w:hAnsi="宋体" w:eastAsia="方正仿宋_GBK" w:cs="宋体"/>
          <w:color w:val="000000"/>
          <w:kern w:val="0"/>
          <w:sz w:val="32"/>
          <w:szCs w:val="32"/>
        </w:rPr>
        <w:t>（</w:t>
      </w:r>
      <w:r>
        <w:rPr>
          <w:rFonts w:hint="eastAsia" w:ascii="仿宋" w:hAnsi="仿宋" w:eastAsia="仿宋" w:cs="Times New Roman"/>
          <w:sz w:val="32"/>
          <w:szCs w:val="32"/>
        </w:rPr>
        <w:t>包括一般公共预算28.5</w:t>
      </w:r>
      <w:r>
        <w:rPr>
          <w:rFonts w:ascii="仿宋" w:hAnsi="仿宋" w:eastAsia="仿宋" w:cs="Times New Roman"/>
          <w:sz w:val="32"/>
          <w:szCs w:val="32"/>
        </w:rPr>
        <w:t>万元</w:t>
      </w:r>
      <w:r>
        <w:rPr>
          <w:rFonts w:hint="eastAsia" w:ascii="仿宋" w:hAnsi="仿宋" w:eastAsia="仿宋" w:cs="Times New Roman"/>
          <w:sz w:val="32"/>
          <w:szCs w:val="32"/>
        </w:rPr>
        <w:t>、政府性基金预算0</w:t>
      </w:r>
      <w:r>
        <w:rPr>
          <w:rFonts w:ascii="仿宋" w:hAnsi="仿宋" w:eastAsia="仿宋" w:cs="Times New Roman"/>
          <w:sz w:val="32"/>
          <w:szCs w:val="32"/>
        </w:rPr>
        <w:t>万元</w:t>
      </w:r>
      <w:r>
        <w:rPr>
          <w:rFonts w:hint="eastAsia" w:ascii="仿宋" w:hAnsi="仿宋" w:eastAsia="仿宋" w:cs="Times New Roman"/>
          <w:sz w:val="32"/>
          <w:szCs w:val="32"/>
        </w:rPr>
        <w:t>、国有资本经营预算0</w:t>
      </w:r>
      <w:r>
        <w:rPr>
          <w:rFonts w:ascii="仿宋" w:hAnsi="仿宋" w:eastAsia="仿宋" w:cs="Times New Roman"/>
          <w:sz w:val="32"/>
          <w:szCs w:val="32"/>
        </w:rPr>
        <w:t>万元</w:t>
      </w:r>
      <w:r>
        <w:rPr>
          <w:rFonts w:hint="eastAsia" w:ascii="仿宋" w:hAnsi="仿宋" w:eastAsia="仿宋" w:cs="Times New Roman"/>
          <w:sz w:val="32"/>
          <w:szCs w:val="32"/>
        </w:rPr>
        <w:t>和财政专户核拨资金0</w:t>
      </w:r>
      <w:r>
        <w:rPr>
          <w:rFonts w:ascii="仿宋" w:hAnsi="仿宋" w:eastAsia="仿宋" w:cs="Times New Roman"/>
          <w:sz w:val="32"/>
          <w:szCs w:val="32"/>
        </w:rPr>
        <w:t>万元</w:t>
      </w:r>
      <w:r>
        <w:rPr>
          <w:rFonts w:hint="eastAsia" w:ascii="方正仿宋_GBK" w:hAnsi="宋体" w:eastAsia="方正仿宋_GBK" w:cs="宋体"/>
          <w:color w:val="000000"/>
          <w:kern w:val="0"/>
          <w:sz w:val="32"/>
          <w:szCs w:val="32"/>
        </w:rPr>
        <w:t>）</w:t>
      </w:r>
      <w:r>
        <w:rPr>
          <w:rFonts w:ascii="仿宋" w:hAnsi="仿宋" w:eastAsia="仿宋" w:cs="Times New Roman"/>
          <w:sz w:val="32"/>
          <w:szCs w:val="32"/>
        </w:rPr>
        <w:t>，其中因公出国（境）费</w:t>
      </w:r>
      <w:r>
        <w:rPr>
          <w:rFonts w:hint="eastAsia" w:ascii="仿宋" w:hAnsi="仿宋" w:eastAsia="仿宋" w:cs="Times New Roman"/>
          <w:sz w:val="32"/>
          <w:szCs w:val="32"/>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与2017年持平；公务用车购置及运维费</w:t>
      </w:r>
      <w:r>
        <w:rPr>
          <w:rFonts w:hint="eastAsia" w:ascii="仿宋" w:hAnsi="仿宋" w:eastAsia="仿宋" w:cs="Times New Roman"/>
          <w:sz w:val="32"/>
          <w:szCs w:val="32"/>
        </w:rPr>
        <w:t>19</w:t>
      </w:r>
      <w:r>
        <w:rPr>
          <w:rFonts w:ascii="仿宋" w:hAnsi="仿宋" w:eastAsia="仿宋" w:cs="Times New Roman"/>
          <w:sz w:val="32"/>
          <w:szCs w:val="32"/>
        </w:rPr>
        <w:t>万元（其中：公务用车购置费为</w:t>
      </w:r>
      <w:r>
        <w:rPr>
          <w:rFonts w:hint="eastAsia" w:ascii="仿宋" w:hAnsi="仿宋" w:eastAsia="仿宋" w:cs="Times New Roman"/>
          <w:sz w:val="32"/>
          <w:szCs w:val="32"/>
        </w:rPr>
        <w:t>0</w:t>
      </w:r>
      <w:r>
        <w:rPr>
          <w:rFonts w:ascii="仿宋" w:hAnsi="仿宋" w:eastAsia="仿宋" w:cs="Times New Roman"/>
          <w:sz w:val="32"/>
          <w:szCs w:val="32"/>
        </w:rPr>
        <w:t>，公务用车运行费</w:t>
      </w:r>
      <w:r>
        <w:rPr>
          <w:rFonts w:hint="eastAsia" w:ascii="仿宋" w:hAnsi="仿宋" w:eastAsia="仿宋" w:cs="Times New Roman"/>
          <w:sz w:val="32"/>
          <w:szCs w:val="32"/>
        </w:rPr>
        <w:t>19</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与2017年持平；公务接待费</w:t>
      </w:r>
      <w:r>
        <w:rPr>
          <w:rFonts w:hint="eastAsia" w:ascii="仿宋" w:hAnsi="仿宋" w:eastAsia="仿宋" w:cs="Times New Roman"/>
          <w:sz w:val="32"/>
          <w:szCs w:val="32"/>
        </w:rPr>
        <w:t>9.5</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与2017年持平</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无增减变动</w:t>
      </w:r>
      <w:r>
        <w:rPr>
          <w:rFonts w:hint="eastAsia" w:ascii="仿宋" w:hAnsi="仿宋" w:eastAsia="仿宋" w:cs="Times New Roman"/>
          <w:sz w:val="32"/>
          <w:szCs w:val="32"/>
        </w:rPr>
        <w:t>。</w:t>
      </w:r>
    </w:p>
    <w:p>
      <w:pPr>
        <w:ind w:firstLine="640"/>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3" w:firstLineChars="200"/>
        <w:jc w:val="left"/>
        <w:rPr>
          <w:rFonts w:cs="Times New Roman" w:asciiTheme="minorEastAsia" w:hAnsiTheme="minorEastAsia"/>
          <w:b/>
          <w:sz w:val="32"/>
          <w:szCs w:val="32"/>
        </w:rPr>
      </w:pPr>
      <w:bookmarkStart w:id="0" w:name="_Toc471398463"/>
      <w:r>
        <w:rPr>
          <w:rFonts w:cs="Times New Roman" w:asciiTheme="minorEastAsia" w:hAnsiTheme="minorEastAsia"/>
          <w:b/>
          <w:sz w:val="32"/>
          <w:szCs w:val="32"/>
        </w:rPr>
        <w:t>总体绩效目标：</w:t>
      </w:r>
    </w:p>
    <w:p>
      <w:pPr>
        <w:autoSpaceDE w:val="0"/>
        <w:autoSpaceDN w:val="0"/>
        <w:adjustRightInd w:val="0"/>
        <w:ind w:left="198" w:firstLine="640" w:firstLineChars="200"/>
        <w:jc w:val="left"/>
        <w:rPr>
          <w:rFonts w:hint="eastAsia" w:ascii="仿宋" w:hAnsi="仿宋" w:eastAsia="仿宋" w:cs="Times New Roman"/>
          <w:sz w:val="32"/>
          <w:szCs w:val="32"/>
        </w:rPr>
      </w:pPr>
      <w:r>
        <w:rPr>
          <w:rFonts w:hint="eastAsia" w:ascii="仿宋" w:hAnsi="仿宋" w:eastAsia="仿宋" w:cs="Times New Roman"/>
          <w:sz w:val="32"/>
          <w:szCs w:val="32"/>
        </w:rPr>
        <w:t>1、加强对权力运行的制约监督，推动县委重大决策部署的贯彻落实。围绕人民群众关注的热点难点问题，听取审议专项工作报告，开展执法检查、视察调研。</w:t>
      </w:r>
    </w:p>
    <w:p>
      <w:pPr>
        <w:autoSpaceDE w:val="0"/>
        <w:autoSpaceDN w:val="0"/>
        <w:adjustRightInd w:val="0"/>
        <w:ind w:left="198" w:firstLine="640" w:firstLineChars="200"/>
        <w:jc w:val="left"/>
        <w:rPr>
          <w:rFonts w:hint="eastAsia" w:ascii="仿宋" w:hAnsi="仿宋" w:eastAsia="仿宋" w:cs="Times New Roman"/>
          <w:sz w:val="32"/>
          <w:szCs w:val="32"/>
        </w:rPr>
      </w:pPr>
      <w:r>
        <w:rPr>
          <w:rFonts w:hint="eastAsia" w:ascii="仿宋" w:hAnsi="仿宋" w:eastAsia="仿宋" w:cs="Times New Roman"/>
          <w:sz w:val="32"/>
          <w:szCs w:val="32"/>
        </w:rPr>
        <w:t>2、做好会议的服务保障工作，确保会议顺利进行，达到预期目标。</w:t>
      </w:r>
    </w:p>
    <w:p>
      <w:pPr>
        <w:autoSpaceDE w:val="0"/>
        <w:autoSpaceDN w:val="0"/>
        <w:adjustRightInd w:val="0"/>
        <w:ind w:left="198" w:firstLine="640" w:firstLineChars="200"/>
        <w:jc w:val="left"/>
        <w:rPr>
          <w:rFonts w:hint="eastAsia" w:ascii="仿宋" w:hAnsi="仿宋" w:eastAsia="仿宋" w:cs="Times New Roman"/>
          <w:sz w:val="32"/>
          <w:szCs w:val="32"/>
        </w:rPr>
      </w:pPr>
      <w:r>
        <w:rPr>
          <w:rFonts w:hint="eastAsia" w:ascii="仿宋" w:hAnsi="仿宋" w:eastAsia="仿宋" w:cs="Times New Roman"/>
          <w:sz w:val="32"/>
          <w:szCs w:val="32"/>
        </w:rPr>
        <w:t>3、发挥好常委会组成人员、专门委员会委员和代表的履职积极性。密切对代表的联系，组织专门委员会成员、代表列席常委会会议，坚持向代表通报常委会会议情况。</w:t>
      </w:r>
    </w:p>
    <w:p>
      <w:pPr>
        <w:autoSpaceDE w:val="0"/>
        <w:autoSpaceDN w:val="0"/>
        <w:adjustRightInd w:val="0"/>
        <w:ind w:left="198" w:firstLine="640" w:firstLineChars="200"/>
        <w:jc w:val="left"/>
        <w:rPr>
          <w:rFonts w:hint="eastAsia" w:ascii="仿宋" w:hAnsi="仿宋" w:eastAsia="仿宋" w:cs="Times New Roman"/>
          <w:sz w:val="32"/>
          <w:szCs w:val="32"/>
        </w:rPr>
      </w:pPr>
      <w:r>
        <w:rPr>
          <w:rFonts w:hint="eastAsia" w:ascii="仿宋" w:hAnsi="仿宋" w:eastAsia="仿宋" w:cs="Times New Roman"/>
          <w:sz w:val="32"/>
          <w:szCs w:val="32"/>
        </w:rPr>
        <w:t>4、改进文风会风，提高常委会议事质量。常委会会议议题要在听取群众意见的基础上依法确定，加强会前的视察调研，严格落实议事规则，完善审议程序，切实提出有针对性的意见建议。</w:t>
      </w:r>
    </w:p>
    <w:p>
      <w:pPr>
        <w:autoSpaceDE w:val="0"/>
        <w:autoSpaceDN w:val="0"/>
        <w:adjustRightInd w:val="0"/>
        <w:ind w:left="198" w:firstLine="640" w:firstLineChars="200"/>
        <w:jc w:val="left"/>
        <w:rPr>
          <w:rFonts w:ascii="仿宋" w:hAnsi="仿宋" w:eastAsia="仿宋" w:cs="Times New Roman"/>
          <w:sz w:val="32"/>
          <w:szCs w:val="32"/>
          <w:highlight w:val="red"/>
        </w:rPr>
      </w:pPr>
      <w:r>
        <w:rPr>
          <w:rFonts w:hint="eastAsia" w:ascii="仿宋" w:hAnsi="仿宋" w:eastAsia="仿宋" w:cs="Times New Roman"/>
          <w:sz w:val="32"/>
          <w:szCs w:val="32"/>
        </w:rPr>
        <w:t>5、全面推进机关思想建设、组织建设、作风建设、制度建设和廉政建设，提高机关管理的科学化水平。</w:t>
      </w:r>
    </w:p>
    <w:p>
      <w:pPr>
        <w:ind w:firstLine="643" w:firstLineChars="200"/>
        <w:jc w:val="left"/>
        <w:outlineLvl w:val="0"/>
        <w:rPr>
          <w:rFonts w:cs="Times New Roman" w:asciiTheme="minorEastAsia" w:hAnsiTheme="minorEastAsia"/>
          <w:b/>
          <w:sz w:val="32"/>
          <w:szCs w:val="32"/>
        </w:rPr>
      </w:pPr>
      <w:r>
        <w:rPr>
          <w:rFonts w:hint="eastAsia" w:cs="Times New Roman" w:asciiTheme="minorEastAsia" w:hAnsiTheme="minorEastAsia"/>
          <w:b/>
          <w:sz w:val="32"/>
          <w:szCs w:val="32"/>
        </w:rPr>
        <w:t>部门职责及工作活动绩效目标指标：</w:t>
      </w:r>
    </w:p>
    <w:p>
      <w:pPr>
        <w:jc w:val="center"/>
        <w:outlineLvl w:val="0"/>
        <w:rPr>
          <w:rFonts w:hint="eastAsia" w:ascii="方正小标宋_GBK" w:hAnsi="Times New Roman" w:eastAsia="方正小标宋_GBK" w:cs="Times New Roman"/>
          <w:sz w:val="32"/>
          <w:szCs w:val="24"/>
        </w:rPr>
      </w:pPr>
      <w:bookmarkStart w:id="1" w:name="_Toc506296120"/>
      <w:r>
        <w:rPr>
          <w:rFonts w:hint="eastAsia" w:ascii="方正小标宋_GBK" w:hAnsi="Times New Roman" w:eastAsia="方正小标宋_GBK" w:cs="Times New Roman"/>
          <w:sz w:val="32"/>
          <w:szCs w:val="24"/>
        </w:rPr>
        <w:t>部门职责-工作活动绩效目标</w:t>
      </w:r>
      <w:bookmarkEnd w:id="1"/>
    </w:p>
    <w:tbl>
      <w:tblPr>
        <w:tblStyle w:val="7"/>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hAnsi="Times New Roman" w:eastAsia="方正小标宋_GBK" w:cs="Times New Roman"/>
                <w:sz w:val="24"/>
                <w:szCs w:val="24"/>
              </w:rPr>
            </w:pPr>
            <w:r>
              <w:rPr>
                <w:rFonts w:ascii="方正小标宋_GBK" w:hAnsi="Times New Roman" w:eastAsia="方正小标宋_GBK" w:cs="Times New Roman"/>
                <w:sz w:val="24"/>
                <w:szCs w:val="24"/>
              </w:rPr>
              <w:t>101</w:t>
            </w:r>
            <w:r>
              <w:rPr>
                <w:rFonts w:hint="eastAsia" w:ascii="方正小标宋_GBK" w:hAnsi="Times New Roman" w:eastAsia="方正小标宋_GBK" w:cs="Times New Roman"/>
                <w:sz w:val="24"/>
                <w:szCs w:val="24"/>
              </w:rPr>
              <w:t>县人大常委会</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Times New Roman" w:eastAsia="方正书宋_GBK" w:cs="Times New Roman"/>
                <w:sz w:val="24"/>
                <w:szCs w:val="24"/>
              </w:rPr>
            </w:pPr>
            <w:r>
              <w:rPr>
                <w:rFonts w:hint="eastAsia" w:ascii="方正书宋_GBK" w:hAnsi="Times New Roman" w:eastAsia="方正书宋_GBK" w:cs="Times New Roman"/>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职责活动</w:t>
            </w:r>
          </w:p>
        </w:tc>
        <w:tc>
          <w:tcPr>
            <w:tcW w:w="1276"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年度预算数</w:t>
            </w:r>
          </w:p>
        </w:tc>
        <w:tc>
          <w:tcPr>
            <w:tcW w:w="2976"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内容描述</w:t>
            </w:r>
          </w:p>
        </w:tc>
        <w:tc>
          <w:tcPr>
            <w:tcW w:w="2976"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1417"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绩效指标</w:t>
            </w:r>
          </w:p>
        </w:tc>
        <w:tc>
          <w:tcPr>
            <w:tcW w:w="2948" w:type="dxa"/>
            <w:gridSpan w:val="4"/>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97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97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417"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737"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优</w:t>
            </w:r>
          </w:p>
        </w:tc>
        <w:tc>
          <w:tcPr>
            <w:tcW w:w="737"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良</w:t>
            </w:r>
          </w:p>
        </w:tc>
        <w:tc>
          <w:tcPr>
            <w:tcW w:w="737"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中</w:t>
            </w:r>
          </w:p>
        </w:tc>
        <w:tc>
          <w:tcPr>
            <w:tcW w:w="737"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hAnsi="Times New Roman" w:eastAsia="方正书宋_GBK" w:cs="Times New Roman"/>
                <w:b/>
                <w:szCs w:val="24"/>
              </w:rPr>
              <w:t>一、人大监督</w:t>
            </w:r>
          </w:p>
        </w:tc>
        <w:tc>
          <w:tcPr>
            <w:tcW w:w="1276" w:type="dxa"/>
            <w:shd w:val="clear" w:color="auto" w:fill="auto"/>
            <w:vAlign w:val="center"/>
          </w:tcPr>
          <w:p>
            <w:pPr>
              <w:spacing w:line="300" w:lineRule="exact"/>
              <w:jc w:val="left"/>
              <w:rPr>
                <w:rFonts w:ascii="方正书宋_GBK" w:hAnsi="Times New Roman" w:eastAsia="方正书宋_GBK" w:cs="Times New Roman"/>
                <w:szCs w:val="24"/>
              </w:rPr>
            </w:pPr>
          </w:p>
        </w:tc>
        <w:tc>
          <w:tcPr>
            <w:tcW w:w="2976"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进行执法调研和执法检查；围绕政府工作报告和</w:t>
            </w:r>
            <w:r>
              <w:rPr>
                <w:rFonts w:hint="cs" w:ascii="方正书宋_GBK" w:hAnsi="Times New Roman" w:eastAsia="方正书宋_GBK" w:cs="Times New Roman"/>
                <w:szCs w:val="24"/>
              </w:rPr>
              <w:t>“</w:t>
            </w:r>
            <w:r>
              <w:rPr>
                <w:rFonts w:hint="eastAsia" w:ascii="方正书宋_GBK" w:hAnsi="Times New Roman" w:eastAsia="方正书宋_GBK" w:cs="Times New Roman"/>
                <w:szCs w:val="24"/>
              </w:rPr>
              <w:t>一府两院</w:t>
            </w:r>
            <w:r>
              <w:rPr>
                <w:rFonts w:hint="cs" w:ascii="方正书宋_GBK" w:hAnsi="Times New Roman" w:eastAsia="方正书宋_GBK" w:cs="Times New Roman"/>
                <w:szCs w:val="24"/>
              </w:rPr>
              <w:t>”</w:t>
            </w:r>
            <w:r>
              <w:rPr>
                <w:rFonts w:hint="eastAsia" w:ascii="方正书宋_GBK" w:hAnsi="Times New Roman" w:eastAsia="方正书宋_GBK" w:cs="Times New Roman"/>
                <w:szCs w:val="24"/>
              </w:rPr>
              <w:t>专项工作报告涉及内容开展调查研究，开展专题询问和工作评议；对</w:t>
            </w:r>
            <w:r>
              <w:rPr>
                <w:rFonts w:hint="cs" w:ascii="方正书宋_GBK" w:hAnsi="Times New Roman" w:eastAsia="方正书宋_GBK" w:cs="Times New Roman"/>
                <w:szCs w:val="24"/>
              </w:rPr>
              <w:t>“</w:t>
            </w:r>
            <w:r>
              <w:rPr>
                <w:rFonts w:hint="eastAsia" w:ascii="方正书宋_GBK" w:hAnsi="Times New Roman" w:eastAsia="方正书宋_GBK" w:cs="Times New Roman"/>
                <w:szCs w:val="24"/>
              </w:rPr>
              <w:t>一府两院</w:t>
            </w:r>
            <w:r>
              <w:rPr>
                <w:rFonts w:hint="cs" w:ascii="方正书宋_GBK" w:hAnsi="Times New Roman" w:eastAsia="方正书宋_GBK" w:cs="Times New Roman"/>
                <w:szCs w:val="24"/>
              </w:rPr>
              <w:t>”</w:t>
            </w:r>
            <w:r>
              <w:rPr>
                <w:rFonts w:hint="eastAsia" w:ascii="方正书宋_GBK" w:hAnsi="Times New Roman" w:eastAsia="方正书宋_GBK" w:cs="Times New Roman"/>
                <w:szCs w:val="24"/>
              </w:rPr>
              <w:t>进行监督。</w:t>
            </w:r>
          </w:p>
        </w:tc>
        <w:tc>
          <w:tcPr>
            <w:tcW w:w="2976"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促进各项法律法规、人大决议、报告等的落实；促进</w:t>
            </w:r>
            <w:r>
              <w:rPr>
                <w:rFonts w:hint="cs" w:ascii="方正书宋_GBK" w:hAnsi="Times New Roman" w:eastAsia="方正书宋_GBK" w:cs="Times New Roman"/>
                <w:szCs w:val="24"/>
              </w:rPr>
              <w:t>“</w:t>
            </w:r>
            <w:r>
              <w:rPr>
                <w:rFonts w:hint="eastAsia" w:ascii="方正书宋_GBK" w:hAnsi="Times New Roman" w:eastAsia="方正书宋_GBK" w:cs="Times New Roman"/>
                <w:szCs w:val="24"/>
              </w:rPr>
              <w:t>一府两院</w:t>
            </w:r>
            <w:r>
              <w:rPr>
                <w:rFonts w:hint="cs" w:ascii="方正书宋_GBK" w:hAnsi="Times New Roman" w:eastAsia="方正书宋_GBK" w:cs="Times New Roman"/>
                <w:szCs w:val="24"/>
              </w:rPr>
              <w:t>”</w:t>
            </w:r>
            <w:r>
              <w:rPr>
                <w:rFonts w:hint="eastAsia" w:ascii="方正书宋_GBK" w:hAnsi="Times New Roman" w:eastAsia="方正书宋_GBK" w:cs="Times New Roman"/>
                <w:szCs w:val="24"/>
              </w:rPr>
              <w:t>改进工作；提高规范性文件质量；促进社会和谐稳定。</w:t>
            </w:r>
          </w:p>
        </w:tc>
        <w:tc>
          <w:tcPr>
            <w:tcW w:w="1417" w:type="dxa"/>
            <w:shd w:val="clear" w:color="auto" w:fill="auto"/>
            <w:vAlign w:val="center"/>
          </w:tcPr>
          <w:p>
            <w:pPr>
              <w:spacing w:line="300" w:lineRule="exact"/>
              <w:jc w:val="left"/>
              <w:rPr>
                <w:rFonts w:ascii="方正书宋_GBK" w:hAnsi="Times New Roman" w:eastAsia="方正书宋_GBK" w:cs="Times New Roman"/>
                <w:szCs w:val="24"/>
              </w:rPr>
            </w:pP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hAnsi="Times New Roman" w:eastAsia="方正书宋_GBK" w:cs="Times New Roman"/>
                <w:b/>
                <w:szCs w:val="24"/>
              </w:rPr>
            </w:pPr>
            <w:r>
              <w:rPr>
                <w:rFonts w:hint="eastAsia" w:ascii="方正书宋_GBK" w:hAnsi="Times New Roman" w:eastAsia="方正书宋_GBK" w:cs="Times New Roman"/>
                <w:b/>
                <w:szCs w:val="24"/>
              </w:rPr>
              <w:t>　　</w:t>
            </w:r>
            <w:r>
              <w:rPr>
                <w:rFonts w:ascii="方正书宋_GBK" w:hAnsi="Times New Roman" w:eastAsia="方正书宋_GBK" w:cs="Times New Roman"/>
                <w:b/>
                <w:szCs w:val="24"/>
              </w:rPr>
              <w:t>1</w:t>
            </w:r>
            <w:r>
              <w:rPr>
                <w:rFonts w:hint="eastAsia" w:ascii="方正书宋_GBK" w:hAnsi="Times New Roman" w:eastAsia="方正书宋_GBK" w:cs="Times New Roman"/>
                <w:b/>
                <w:szCs w:val="24"/>
              </w:rPr>
              <w:t>、专门委员会、常委及代表活动</w:t>
            </w:r>
          </w:p>
        </w:tc>
        <w:tc>
          <w:tcPr>
            <w:tcW w:w="1276" w:type="dxa"/>
            <w:vMerge w:val="restart"/>
            <w:shd w:val="clear" w:color="auto" w:fill="auto"/>
            <w:vAlign w:val="center"/>
          </w:tcPr>
          <w:p>
            <w:pPr>
              <w:spacing w:line="300" w:lineRule="exact"/>
              <w:jc w:val="left"/>
              <w:rPr>
                <w:rFonts w:ascii="方正书宋_GBK" w:hAnsi="Times New Roman" w:eastAsia="方正书宋_GBK" w:cs="Times New Roman"/>
                <w:szCs w:val="24"/>
              </w:rPr>
            </w:pPr>
          </w:p>
        </w:tc>
        <w:tc>
          <w:tcPr>
            <w:tcW w:w="2976" w:type="dxa"/>
            <w:vMerge w:val="restart"/>
            <w:shd w:val="clear" w:color="auto" w:fill="auto"/>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组织专门委员会委员、各工作委员会及特聘专家进行对法律实施情况进行执法检查；组织县人大常委及县人大代表进行执法检查和集中视察；开展代表建议督办；组织对常委及代表培训。</w:t>
            </w:r>
          </w:p>
        </w:tc>
        <w:tc>
          <w:tcPr>
            <w:tcW w:w="2976" w:type="dxa"/>
            <w:vMerge w:val="restart"/>
            <w:shd w:val="clear" w:color="auto" w:fill="auto"/>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发挥常委及代表的作用，集中反映民意，促进依法履职。</w:t>
            </w:r>
          </w:p>
        </w:tc>
        <w:tc>
          <w:tcPr>
            <w:tcW w:w="1417"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建议督办完成率</w:t>
            </w: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r>
              <w:rPr>
                <w:rFonts w:hint="eastAsia" w:ascii="方正书宋_GBK" w:hAnsi="Times New Roman" w:eastAsia="方正书宋_GBK" w:cs="Times New Roman"/>
                <w:szCs w:val="24"/>
              </w:rPr>
              <w:t>≥</w:t>
            </w:r>
            <w:r>
              <w:rPr>
                <w:rFonts w:ascii="方正书宋_GBK" w:hAnsi="Times New Roman" w:eastAsia="方正书宋_GBK" w:cs="Times New Roman"/>
                <w:szCs w:val="24"/>
              </w:rPr>
              <w:t>90%</w:t>
            </w: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r>
              <w:rPr>
                <w:rFonts w:hint="eastAsia" w:ascii="方正书宋_GBK" w:hAnsi="Times New Roman" w:eastAsia="方正书宋_GBK" w:cs="Times New Roman"/>
                <w:szCs w:val="24"/>
              </w:rPr>
              <w:t>≥</w:t>
            </w:r>
            <w:r>
              <w:rPr>
                <w:rFonts w:ascii="方正书宋_GBK" w:hAnsi="Times New Roman" w:eastAsia="方正书宋_GBK" w:cs="Times New Roman"/>
                <w:szCs w:val="24"/>
              </w:rPr>
              <w:t>80%</w:t>
            </w: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r>
              <w:rPr>
                <w:rFonts w:hint="eastAsia" w:ascii="方正书宋_GBK" w:hAnsi="Times New Roman" w:eastAsia="方正书宋_GBK" w:cs="Times New Roman"/>
                <w:szCs w:val="24"/>
              </w:rPr>
              <w:t>≥</w:t>
            </w:r>
            <w:r>
              <w:rPr>
                <w:rFonts w:ascii="方正书宋_GBK" w:hAnsi="Times New Roman" w:eastAsia="方正书宋_GBK" w:cs="Times New Roman"/>
                <w:szCs w:val="24"/>
              </w:rPr>
              <w:t>70%</w:t>
            </w: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r>
              <w:rPr>
                <w:rFonts w:ascii="方正书宋_GBK" w:hAnsi="Times New Roman" w:eastAsia="方正书宋_GBK" w:cs="Times New Roman"/>
                <w:szCs w:val="24"/>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hAnsi="Times New Roman" w:eastAsia="方正书宋_GBK" w:cs="Times New Roman"/>
                <w:b/>
                <w:szCs w:val="24"/>
              </w:rPr>
            </w:pPr>
          </w:p>
        </w:tc>
        <w:tc>
          <w:tcPr>
            <w:tcW w:w="1276" w:type="dxa"/>
            <w:vMerge w:val="continue"/>
            <w:shd w:val="clear" w:color="auto" w:fill="auto"/>
            <w:vAlign w:val="center"/>
          </w:tcPr>
          <w:p>
            <w:pPr>
              <w:spacing w:line="300" w:lineRule="exact"/>
              <w:jc w:val="left"/>
              <w:rPr>
                <w:rFonts w:ascii="方正书宋_GBK" w:hAnsi="Times New Roman" w:eastAsia="方正书宋_GBK" w:cs="Times New Roman"/>
                <w:szCs w:val="24"/>
              </w:rPr>
            </w:pPr>
          </w:p>
        </w:tc>
        <w:tc>
          <w:tcPr>
            <w:tcW w:w="2976" w:type="dxa"/>
            <w:vMerge w:val="continue"/>
            <w:shd w:val="clear" w:color="auto" w:fill="auto"/>
            <w:vAlign w:val="center"/>
          </w:tcPr>
          <w:p>
            <w:pPr>
              <w:spacing w:line="300" w:lineRule="exact"/>
              <w:jc w:val="left"/>
              <w:rPr>
                <w:rFonts w:hint="eastAsia" w:ascii="方正书宋_GBK" w:hAnsi="Times New Roman" w:eastAsia="方正书宋_GBK" w:cs="Times New Roman"/>
                <w:szCs w:val="24"/>
              </w:rPr>
            </w:pPr>
          </w:p>
        </w:tc>
        <w:tc>
          <w:tcPr>
            <w:tcW w:w="2976" w:type="dxa"/>
            <w:vMerge w:val="continue"/>
            <w:shd w:val="clear" w:color="auto" w:fill="auto"/>
            <w:vAlign w:val="center"/>
          </w:tcPr>
          <w:p>
            <w:pPr>
              <w:spacing w:line="300" w:lineRule="exact"/>
              <w:jc w:val="left"/>
              <w:rPr>
                <w:rFonts w:hint="eastAsia" w:ascii="方正书宋_GBK" w:hAnsi="Times New Roman" w:eastAsia="方正书宋_GBK" w:cs="Times New Roman"/>
                <w:szCs w:val="24"/>
              </w:rPr>
            </w:pPr>
          </w:p>
        </w:tc>
        <w:tc>
          <w:tcPr>
            <w:tcW w:w="1417" w:type="dxa"/>
            <w:shd w:val="clear" w:color="auto" w:fill="auto"/>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执法检查任务完成率</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ascii="方正书宋_GBK" w:hAnsi="Times New Roman" w:eastAsia="方正书宋_GBK" w:cs="Times New Roman"/>
                <w:szCs w:val="24"/>
              </w:rPr>
              <w:t>90%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ascii="方正书宋_GBK" w:hAnsi="Times New Roman" w:eastAsia="方正书宋_GBK" w:cs="Times New Roman"/>
                <w:szCs w:val="24"/>
              </w:rPr>
              <w:t>80%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ascii="方正书宋_GBK" w:hAnsi="Times New Roman" w:eastAsia="方正书宋_GBK" w:cs="Times New Roman"/>
                <w:szCs w:val="24"/>
              </w:rPr>
              <w:t>70%</w:t>
            </w: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r>
              <w:rPr>
                <w:rFonts w:ascii="方正书宋_GBK" w:hAnsi="Times New Roman" w:eastAsia="方正书宋_GBK" w:cs="Times New Roman"/>
                <w:szCs w:val="24"/>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hAnsi="Times New Roman" w:eastAsia="方正书宋_GBK" w:cs="Times New Roman"/>
                <w:b/>
                <w:szCs w:val="24"/>
              </w:rPr>
            </w:pPr>
            <w:r>
              <w:rPr>
                <w:rFonts w:hint="eastAsia" w:ascii="方正书宋_GBK" w:hAnsi="Times New Roman" w:eastAsia="方正书宋_GBK" w:cs="Times New Roman"/>
                <w:b/>
                <w:szCs w:val="24"/>
              </w:rPr>
              <w:t>二、人大会议</w:t>
            </w:r>
          </w:p>
        </w:tc>
        <w:tc>
          <w:tcPr>
            <w:tcW w:w="1276" w:type="dxa"/>
            <w:shd w:val="clear" w:color="auto" w:fill="auto"/>
            <w:vAlign w:val="center"/>
          </w:tcPr>
          <w:p>
            <w:pPr>
              <w:spacing w:line="300" w:lineRule="exact"/>
              <w:jc w:val="left"/>
              <w:rPr>
                <w:rFonts w:ascii="方正书宋_GBK" w:hAnsi="Times New Roman" w:eastAsia="方正书宋_GBK" w:cs="Times New Roman"/>
                <w:szCs w:val="24"/>
              </w:rPr>
            </w:pPr>
          </w:p>
        </w:tc>
        <w:tc>
          <w:tcPr>
            <w:tcW w:w="2976" w:type="dxa"/>
            <w:shd w:val="clear" w:color="auto" w:fill="auto"/>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县人民代表大会和常务委员会各种会议的筹备、会务工作，负责常委会文件起草、审核把关，常委会会议、主任会议及常委会党组会议决定事项、工作部署、重要文件及领导批示的传达和督办。</w:t>
            </w:r>
          </w:p>
        </w:tc>
        <w:tc>
          <w:tcPr>
            <w:tcW w:w="2976" w:type="dxa"/>
            <w:shd w:val="clear" w:color="auto" w:fill="auto"/>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完善各项会议制度，规范会议程序，提高会议质量，提高人大代表及常委会审议水平。</w:t>
            </w:r>
          </w:p>
        </w:tc>
        <w:tc>
          <w:tcPr>
            <w:tcW w:w="1417" w:type="dxa"/>
            <w:shd w:val="clear" w:color="auto" w:fill="auto"/>
            <w:vAlign w:val="center"/>
          </w:tcPr>
          <w:p>
            <w:pPr>
              <w:spacing w:line="300" w:lineRule="exact"/>
              <w:jc w:val="left"/>
              <w:rPr>
                <w:rFonts w:hint="eastAsia" w:ascii="方正书宋_GBK" w:hAnsi="Times New Roman" w:eastAsia="方正书宋_GBK" w:cs="Times New Roman"/>
                <w:szCs w:val="24"/>
              </w:rPr>
            </w:pPr>
          </w:p>
        </w:tc>
        <w:tc>
          <w:tcPr>
            <w:tcW w:w="737" w:type="dxa"/>
            <w:shd w:val="clear" w:color="auto" w:fill="auto"/>
            <w:vAlign w:val="center"/>
          </w:tcPr>
          <w:p>
            <w:pPr>
              <w:spacing w:line="300" w:lineRule="exact"/>
              <w:jc w:val="center"/>
              <w:rPr>
                <w:rFonts w:hint="eastAsia" w:ascii="方正书宋_GBK" w:hAnsi="Times New Roman" w:eastAsia="方正书宋_GBK" w:cs="Times New Roman"/>
                <w:szCs w:val="24"/>
              </w:rPr>
            </w:pPr>
          </w:p>
        </w:tc>
        <w:tc>
          <w:tcPr>
            <w:tcW w:w="737" w:type="dxa"/>
            <w:shd w:val="clear" w:color="auto" w:fill="auto"/>
            <w:vAlign w:val="center"/>
          </w:tcPr>
          <w:p>
            <w:pPr>
              <w:spacing w:line="300" w:lineRule="exact"/>
              <w:jc w:val="center"/>
              <w:rPr>
                <w:rFonts w:hint="eastAsia" w:ascii="方正书宋_GBK" w:hAnsi="Times New Roman" w:eastAsia="方正书宋_GBK" w:cs="Times New Roman"/>
                <w:szCs w:val="24"/>
              </w:rPr>
            </w:pPr>
          </w:p>
        </w:tc>
        <w:tc>
          <w:tcPr>
            <w:tcW w:w="737" w:type="dxa"/>
            <w:shd w:val="clear" w:color="auto" w:fill="auto"/>
            <w:vAlign w:val="center"/>
          </w:tcPr>
          <w:p>
            <w:pPr>
              <w:spacing w:line="300" w:lineRule="exact"/>
              <w:jc w:val="center"/>
              <w:rPr>
                <w:rFonts w:hint="eastAsia" w:ascii="方正书宋_GBK" w:hAnsi="Times New Roman" w:eastAsia="方正书宋_GBK" w:cs="Times New Roman"/>
                <w:szCs w:val="24"/>
              </w:rPr>
            </w:pP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hAnsi="Times New Roman" w:eastAsia="方正书宋_GBK" w:cs="Times New Roman"/>
                <w:b/>
                <w:szCs w:val="24"/>
              </w:rPr>
            </w:pPr>
            <w:r>
              <w:rPr>
                <w:rFonts w:hint="eastAsia" w:ascii="方正书宋_GBK" w:hAnsi="Times New Roman" w:eastAsia="方正书宋_GBK" w:cs="Times New Roman"/>
                <w:b/>
                <w:szCs w:val="24"/>
              </w:rPr>
              <w:t>　　</w:t>
            </w:r>
            <w:r>
              <w:rPr>
                <w:rFonts w:ascii="方正书宋_GBK" w:hAnsi="Times New Roman" w:eastAsia="方正书宋_GBK" w:cs="Times New Roman"/>
                <w:b/>
                <w:szCs w:val="24"/>
              </w:rPr>
              <w:t>1</w:t>
            </w:r>
            <w:r>
              <w:rPr>
                <w:rFonts w:hint="eastAsia" w:ascii="方正书宋_GBK" w:hAnsi="Times New Roman" w:eastAsia="方正书宋_GBK" w:cs="Times New Roman"/>
                <w:b/>
                <w:szCs w:val="24"/>
              </w:rPr>
              <w:t>、人大会议</w:t>
            </w:r>
          </w:p>
        </w:tc>
        <w:tc>
          <w:tcPr>
            <w:tcW w:w="1276" w:type="dxa"/>
            <w:shd w:val="clear" w:color="auto" w:fill="auto"/>
            <w:vAlign w:val="center"/>
          </w:tcPr>
          <w:p>
            <w:pPr>
              <w:spacing w:line="300" w:lineRule="exact"/>
              <w:jc w:val="left"/>
              <w:rPr>
                <w:rFonts w:ascii="方正书宋_GBK" w:hAnsi="Times New Roman" w:eastAsia="方正书宋_GBK" w:cs="Times New Roman"/>
                <w:szCs w:val="24"/>
              </w:rPr>
            </w:pPr>
          </w:p>
        </w:tc>
        <w:tc>
          <w:tcPr>
            <w:tcW w:w="2976" w:type="dxa"/>
            <w:shd w:val="clear" w:color="auto" w:fill="auto"/>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承担县人民代表大会和常务委员会各种会议的筹备、会务工作，负责常委会文件起草、审核把关，常委会会议、主任会议及常委会党组会议决定事项、工作部署、重要文件及领导批示的传达和督办。</w:t>
            </w:r>
          </w:p>
        </w:tc>
        <w:tc>
          <w:tcPr>
            <w:tcW w:w="2976" w:type="dxa"/>
            <w:shd w:val="clear" w:color="auto" w:fill="auto"/>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完善各项会议制度，规范会议程序，提高会议质量，提高人大代表及常委会审议水平。</w:t>
            </w:r>
          </w:p>
        </w:tc>
        <w:tc>
          <w:tcPr>
            <w:tcW w:w="1417" w:type="dxa"/>
            <w:shd w:val="clear" w:color="auto" w:fill="auto"/>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会议筹备及会务工作的完成率</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ascii="方正书宋_GBK" w:hAnsi="Times New Roman" w:eastAsia="方正书宋_GBK" w:cs="Times New Roman"/>
                <w:szCs w:val="24"/>
              </w:rPr>
              <w:t>100%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ascii="方正书宋_GBK" w:hAnsi="Times New Roman" w:eastAsia="方正书宋_GBK" w:cs="Times New Roman"/>
                <w:szCs w:val="24"/>
              </w:rPr>
              <w:t>95%</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ascii="方正书宋_GBK" w:hAnsi="Times New Roman" w:eastAsia="方正书宋_GBK" w:cs="Times New Roman"/>
                <w:szCs w:val="24"/>
              </w:rPr>
              <w:t>90%</w:t>
            </w: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r>
              <w:rPr>
                <w:rFonts w:ascii="方正书宋_GBK" w:hAnsi="Times New Roman" w:eastAsia="方正书宋_GBK" w:cs="Times New Roman"/>
                <w:szCs w:val="24"/>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hAnsi="Times New Roman" w:eastAsia="方正书宋_GBK" w:cs="Times New Roman"/>
                <w:b/>
                <w:szCs w:val="24"/>
              </w:rPr>
            </w:pPr>
            <w:r>
              <w:rPr>
                <w:rFonts w:hint="eastAsia" w:ascii="方正书宋_GBK" w:hAnsi="Times New Roman" w:eastAsia="方正书宋_GBK" w:cs="Times New Roman"/>
                <w:b/>
                <w:szCs w:val="24"/>
              </w:rPr>
              <w:t>三、选举和任免</w:t>
            </w:r>
          </w:p>
        </w:tc>
        <w:tc>
          <w:tcPr>
            <w:tcW w:w="1276" w:type="dxa"/>
            <w:shd w:val="clear" w:color="auto" w:fill="auto"/>
            <w:vAlign w:val="center"/>
          </w:tcPr>
          <w:p>
            <w:pPr>
              <w:spacing w:line="300" w:lineRule="exact"/>
              <w:jc w:val="left"/>
              <w:rPr>
                <w:rFonts w:ascii="方正书宋_GBK" w:hAnsi="Times New Roman" w:eastAsia="方正书宋_GBK" w:cs="Times New Roman"/>
                <w:szCs w:val="24"/>
              </w:rPr>
            </w:pPr>
          </w:p>
        </w:tc>
        <w:tc>
          <w:tcPr>
            <w:tcW w:w="2976" w:type="dxa"/>
            <w:shd w:val="clear" w:color="auto" w:fill="auto"/>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检查监督代表法、选举法及其实施办法的贯彻实施；承担人大换届选举及人事任免服务工作；负责对县政府组成人员和县级人民法院、县人民检察院主要负责人的目标责任书、述职报告的督办工作。</w:t>
            </w:r>
          </w:p>
        </w:tc>
        <w:tc>
          <w:tcPr>
            <w:tcW w:w="2976" w:type="dxa"/>
            <w:shd w:val="clear" w:color="auto" w:fill="auto"/>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确保换届选举工作顺利完成，实现省市和县委人事安排部署；提高组织换届选举工作水平。</w:t>
            </w:r>
          </w:p>
        </w:tc>
        <w:tc>
          <w:tcPr>
            <w:tcW w:w="1417" w:type="dxa"/>
            <w:shd w:val="clear" w:color="auto" w:fill="auto"/>
            <w:vAlign w:val="center"/>
          </w:tcPr>
          <w:p>
            <w:pPr>
              <w:spacing w:line="300" w:lineRule="exact"/>
              <w:jc w:val="left"/>
              <w:rPr>
                <w:rFonts w:hint="eastAsia" w:ascii="方正书宋_GBK" w:hAnsi="Times New Roman" w:eastAsia="方正书宋_GBK" w:cs="Times New Roman"/>
                <w:szCs w:val="24"/>
              </w:rPr>
            </w:pPr>
          </w:p>
        </w:tc>
        <w:tc>
          <w:tcPr>
            <w:tcW w:w="737" w:type="dxa"/>
            <w:shd w:val="clear" w:color="auto" w:fill="auto"/>
            <w:vAlign w:val="center"/>
          </w:tcPr>
          <w:p>
            <w:pPr>
              <w:spacing w:line="300" w:lineRule="exact"/>
              <w:jc w:val="center"/>
              <w:rPr>
                <w:rFonts w:hint="eastAsia" w:ascii="方正书宋_GBK" w:hAnsi="Times New Roman" w:eastAsia="方正书宋_GBK" w:cs="Times New Roman"/>
                <w:szCs w:val="24"/>
              </w:rPr>
            </w:pPr>
          </w:p>
        </w:tc>
        <w:tc>
          <w:tcPr>
            <w:tcW w:w="737" w:type="dxa"/>
            <w:shd w:val="clear" w:color="auto" w:fill="auto"/>
            <w:vAlign w:val="center"/>
          </w:tcPr>
          <w:p>
            <w:pPr>
              <w:spacing w:line="300" w:lineRule="exact"/>
              <w:jc w:val="center"/>
              <w:rPr>
                <w:rFonts w:hint="eastAsia" w:ascii="方正书宋_GBK" w:hAnsi="Times New Roman" w:eastAsia="方正书宋_GBK" w:cs="Times New Roman"/>
                <w:szCs w:val="24"/>
              </w:rPr>
            </w:pPr>
          </w:p>
        </w:tc>
        <w:tc>
          <w:tcPr>
            <w:tcW w:w="737" w:type="dxa"/>
            <w:shd w:val="clear" w:color="auto" w:fill="auto"/>
            <w:vAlign w:val="center"/>
          </w:tcPr>
          <w:p>
            <w:pPr>
              <w:spacing w:line="300" w:lineRule="exact"/>
              <w:jc w:val="center"/>
              <w:rPr>
                <w:rFonts w:hint="eastAsia" w:ascii="方正书宋_GBK" w:hAnsi="Times New Roman" w:eastAsia="方正书宋_GBK" w:cs="Times New Roman"/>
                <w:szCs w:val="24"/>
              </w:rPr>
            </w:pP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hAnsi="Times New Roman" w:eastAsia="方正书宋_GBK" w:cs="Times New Roman"/>
                <w:b/>
                <w:szCs w:val="24"/>
              </w:rPr>
            </w:pPr>
            <w:r>
              <w:rPr>
                <w:rFonts w:hint="eastAsia" w:ascii="方正书宋_GBK" w:hAnsi="Times New Roman" w:eastAsia="方正书宋_GBK" w:cs="Times New Roman"/>
                <w:b/>
                <w:szCs w:val="24"/>
              </w:rPr>
              <w:t>　换届选举及人事任免</w:t>
            </w:r>
          </w:p>
        </w:tc>
        <w:tc>
          <w:tcPr>
            <w:tcW w:w="1276" w:type="dxa"/>
            <w:vMerge w:val="restart"/>
            <w:shd w:val="clear" w:color="auto" w:fill="auto"/>
            <w:vAlign w:val="center"/>
          </w:tcPr>
          <w:p>
            <w:pPr>
              <w:spacing w:line="300" w:lineRule="exact"/>
              <w:jc w:val="left"/>
              <w:rPr>
                <w:rFonts w:ascii="方正书宋_GBK" w:hAnsi="Times New Roman" w:eastAsia="方正书宋_GBK" w:cs="Times New Roman"/>
                <w:szCs w:val="24"/>
              </w:rPr>
            </w:pPr>
          </w:p>
        </w:tc>
        <w:tc>
          <w:tcPr>
            <w:tcW w:w="2976" w:type="dxa"/>
            <w:vMerge w:val="restart"/>
            <w:shd w:val="clear" w:color="auto" w:fill="auto"/>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承担县人大换届选举、县级国家机关领导人的选举和常委会人事任免的服务工作；指导市、县、乡人大换届选举工作；负责对县政府组成人员和县高级人民法院、县人民检察院主要负责人的目标责任书、述职报告的督办工作；对换届选举人员进行培训。</w:t>
            </w:r>
          </w:p>
        </w:tc>
        <w:tc>
          <w:tcPr>
            <w:tcW w:w="2976" w:type="dxa"/>
            <w:vMerge w:val="restart"/>
            <w:shd w:val="clear" w:color="auto" w:fill="auto"/>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确保县人大和乡人大换届选举工作顺利完成，提高组织换届选举工作水平；高质量完成国家机关领导人选举和常委会人事任免服务工作；高效督办有关部门负责人的目标责任书和述职报告。</w:t>
            </w:r>
          </w:p>
        </w:tc>
        <w:tc>
          <w:tcPr>
            <w:tcW w:w="1417" w:type="dxa"/>
            <w:shd w:val="clear" w:color="auto" w:fill="auto"/>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政治任务实现率</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ascii="方正书宋_GBK" w:hAnsi="Times New Roman" w:eastAsia="方正书宋_GBK" w:cs="Times New Roman"/>
                <w:szCs w:val="24"/>
              </w:rPr>
              <w:t>100%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ascii="方正书宋_GBK" w:hAnsi="Times New Roman" w:eastAsia="方正书宋_GBK" w:cs="Times New Roman"/>
                <w:szCs w:val="24"/>
              </w:rPr>
              <w:t>95%</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ascii="方正书宋_GBK" w:hAnsi="Times New Roman" w:eastAsia="方正书宋_GBK" w:cs="Times New Roman"/>
                <w:szCs w:val="24"/>
              </w:rPr>
              <w:t>90%</w:t>
            </w: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r>
              <w:rPr>
                <w:rFonts w:ascii="方正书宋_GBK" w:hAnsi="Times New Roman" w:eastAsia="方正书宋_GBK" w:cs="Times New Roman"/>
                <w:szCs w:val="24"/>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hAnsi="Times New Roman" w:eastAsia="方正书宋_GBK" w:cs="Times New Roman"/>
                <w:b/>
                <w:szCs w:val="24"/>
              </w:rPr>
            </w:pPr>
          </w:p>
        </w:tc>
        <w:tc>
          <w:tcPr>
            <w:tcW w:w="1276" w:type="dxa"/>
            <w:vMerge w:val="continue"/>
            <w:shd w:val="clear" w:color="auto" w:fill="auto"/>
            <w:vAlign w:val="center"/>
          </w:tcPr>
          <w:p>
            <w:pPr>
              <w:spacing w:line="300" w:lineRule="exact"/>
              <w:jc w:val="left"/>
              <w:rPr>
                <w:rFonts w:ascii="方正书宋_GBK" w:hAnsi="Times New Roman" w:eastAsia="方正书宋_GBK" w:cs="Times New Roman"/>
                <w:szCs w:val="24"/>
              </w:rPr>
            </w:pPr>
          </w:p>
        </w:tc>
        <w:tc>
          <w:tcPr>
            <w:tcW w:w="2976" w:type="dxa"/>
            <w:vMerge w:val="continue"/>
            <w:shd w:val="clear" w:color="auto" w:fill="auto"/>
            <w:vAlign w:val="center"/>
          </w:tcPr>
          <w:p>
            <w:pPr>
              <w:spacing w:line="300" w:lineRule="exact"/>
              <w:jc w:val="left"/>
              <w:rPr>
                <w:rFonts w:hint="eastAsia" w:ascii="方正书宋_GBK" w:hAnsi="Times New Roman" w:eastAsia="方正书宋_GBK" w:cs="Times New Roman"/>
                <w:szCs w:val="24"/>
              </w:rPr>
            </w:pPr>
          </w:p>
        </w:tc>
        <w:tc>
          <w:tcPr>
            <w:tcW w:w="2976" w:type="dxa"/>
            <w:vMerge w:val="continue"/>
            <w:shd w:val="clear" w:color="auto" w:fill="auto"/>
            <w:vAlign w:val="center"/>
          </w:tcPr>
          <w:p>
            <w:pPr>
              <w:spacing w:line="300" w:lineRule="exact"/>
              <w:jc w:val="left"/>
              <w:rPr>
                <w:rFonts w:hint="eastAsia" w:ascii="方正书宋_GBK" w:hAnsi="Times New Roman" w:eastAsia="方正书宋_GBK" w:cs="Times New Roman"/>
                <w:szCs w:val="24"/>
              </w:rPr>
            </w:pPr>
          </w:p>
        </w:tc>
        <w:tc>
          <w:tcPr>
            <w:tcW w:w="1417" w:type="dxa"/>
            <w:shd w:val="clear" w:color="auto" w:fill="auto"/>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换届选举工作完成率</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Cs w:val="24"/>
              </w:rPr>
            </w:pPr>
            <w:r>
              <w:rPr>
                <w:rFonts w:ascii="方正书宋_GBK" w:hAnsi="Times New Roman" w:eastAsia="方正书宋_GBK" w:cs="Times New Roman"/>
                <w:szCs w:val="24"/>
              </w:rPr>
              <w:t>100%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ascii="方正书宋_GBK" w:hAnsi="Times New Roman" w:eastAsia="方正书宋_GBK" w:cs="Times New Roman"/>
                <w:szCs w:val="24"/>
              </w:rPr>
              <w:t>95%</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ascii="方正书宋_GBK" w:hAnsi="Times New Roman" w:eastAsia="方正书宋_GBK" w:cs="Times New Roman"/>
                <w:szCs w:val="24"/>
              </w:rPr>
              <w:t>90%</w:t>
            </w: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r>
              <w:rPr>
                <w:rFonts w:ascii="方正书宋_GBK" w:hAnsi="Times New Roman" w:eastAsia="方正书宋_GBK" w:cs="Times New Roman"/>
                <w:szCs w:val="24"/>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hAnsi="Times New Roman" w:eastAsia="方正书宋_GBK" w:cs="Times New Roman"/>
                <w:b/>
                <w:szCs w:val="24"/>
              </w:rPr>
            </w:pPr>
            <w:r>
              <w:rPr>
                <w:rFonts w:hint="eastAsia" w:ascii="方正书宋_GBK" w:hAnsi="Times New Roman" w:eastAsia="方正书宋_GBK" w:cs="Times New Roman"/>
                <w:b/>
                <w:szCs w:val="24"/>
              </w:rPr>
              <w:t>四、人大事务管理</w:t>
            </w:r>
          </w:p>
        </w:tc>
        <w:tc>
          <w:tcPr>
            <w:tcW w:w="1276" w:type="dxa"/>
            <w:shd w:val="clear" w:color="auto" w:fill="auto"/>
            <w:vAlign w:val="center"/>
          </w:tcPr>
          <w:p>
            <w:pPr>
              <w:spacing w:line="300" w:lineRule="exact"/>
              <w:jc w:val="left"/>
              <w:rPr>
                <w:rFonts w:ascii="方正书宋_GBK" w:hAnsi="Times New Roman" w:eastAsia="方正书宋_GBK" w:cs="Times New Roman"/>
                <w:szCs w:val="24"/>
              </w:rPr>
            </w:pPr>
            <w:r>
              <w:rPr>
                <w:rFonts w:ascii="方正书宋_GBK" w:hAnsi="Times New Roman" w:eastAsia="方正书宋_GBK" w:cs="Times New Roman"/>
                <w:szCs w:val="24"/>
              </w:rPr>
              <w:t>78.00</w:t>
            </w:r>
          </w:p>
        </w:tc>
        <w:tc>
          <w:tcPr>
            <w:tcW w:w="2976" w:type="dxa"/>
            <w:shd w:val="clear" w:color="auto" w:fill="auto"/>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新闻宣传和机关信息化建设与维护；人代会及常委会会议表决系统、机关基础设施建设与维护；县人大机关日常管理事务；公报、年检的编辑印刷；信访工作。</w:t>
            </w:r>
          </w:p>
        </w:tc>
        <w:tc>
          <w:tcPr>
            <w:tcW w:w="2976" w:type="dxa"/>
            <w:shd w:val="clear" w:color="auto" w:fill="auto"/>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促进机关自身建设、服务保障能力进一步提升。</w:t>
            </w:r>
          </w:p>
        </w:tc>
        <w:tc>
          <w:tcPr>
            <w:tcW w:w="1417" w:type="dxa"/>
            <w:shd w:val="clear" w:color="auto" w:fill="auto"/>
            <w:vAlign w:val="center"/>
          </w:tcPr>
          <w:p>
            <w:pPr>
              <w:spacing w:line="300" w:lineRule="exact"/>
              <w:jc w:val="left"/>
              <w:rPr>
                <w:rFonts w:hint="eastAsia" w:ascii="方正书宋_GBK" w:hAnsi="Times New Roman" w:eastAsia="方正书宋_GBK" w:cs="Times New Roman"/>
                <w:szCs w:val="24"/>
              </w:rPr>
            </w:pP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p>
        </w:tc>
        <w:tc>
          <w:tcPr>
            <w:tcW w:w="737" w:type="dxa"/>
            <w:shd w:val="clear" w:color="auto" w:fill="auto"/>
            <w:vAlign w:val="center"/>
          </w:tcPr>
          <w:p>
            <w:pPr>
              <w:spacing w:line="300" w:lineRule="exact"/>
              <w:jc w:val="center"/>
              <w:rPr>
                <w:rFonts w:hint="eastAsia" w:ascii="方正书宋_GBK" w:hAnsi="Times New Roman" w:eastAsia="方正书宋_GBK" w:cs="Times New Roman"/>
                <w:szCs w:val="24"/>
              </w:rPr>
            </w:pPr>
          </w:p>
        </w:tc>
        <w:tc>
          <w:tcPr>
            <w:tcW w:w="737" w:type="dxa"/>
            <w:shd w:val="clear" w:color="auto" w:fill="auto"/>
            <w:vAlign w:val="center"/>
          </w:tcPr>
          <w:p>
            <w:pPr>
              <w:spacing w:line="300" w:lineRule="exact"/>
              <w:jc w:val="center"/>
              <w:rPr>
                <w:rFonts w:hint="eastAsia" w:ascii="方正书宋_GBK" w:hAnsi="Times New Roman" w:eastAsia="方正书宋_GBK" w:cs="Times New Roman"/>
                <w:szCs w:val="24"/>
              </w:rPr>
            </w:pP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hAnsi="Times New Roman" w:eastAsia="方正书宋_GBK" w:cs="Times New Roman"/>
                <w:b/>
                <w:szCs w:val="24"/>
              </w:rPr>
            </w:pPr>
            <w:r>
              <w:rPr>
                <w:rFonts w:hint="eastAsia" w:ascii="方正书宋_GBK" w:hAnsi="Times New Roman" w:eastAsia="方正书宋_GBK" w:cs="Times New Roman"/>
                <w:b/>
                <w:szCs w:val="24"/>
              </w:rPr>
              <w:t>　　</w:t>
            </w:r>
            <w:r>
              <w:rPr>
                <w:rFonts w:ascii="方正书宋_GBK" w:hAnsi="Times New Roman" w:eastAsia="方正书宋_GBK" w:cs="Times New Roman"/>
                <w:b/>
                <w:szCs w:val="24"/>
              </w:rPr>
              <w:t>1</w:t>
            </w:r>
            <w:r>
              <w:rPr>
                <w:rFonts w:hint="eastAsia" w:ascii="方正书宋_GBK" w:hAnsi="Times New Roman" w:eastAsia="方正书宋_GBK" w:cs="Times New Roman"/>
                <w:b/>
                <w:szCs w:val="24"/>
              </w:rPr>
              <w:t>、综合业务管理</w:t>
            </w:r>
          </w:p>
        </w:tc>
        <w:tc>
          <w:tcPr>
            <w:tcW w:w="1276" w:type="dxa"/>
            <w:vMerge w:val="restart"/>
            <w:shd w:val="clear" w:color="auto" w:fill="auto"/>
            <w:vAlign w:val="center"/>
          </w:tcPr>
          <w:p>
            <w:pPr>
              <w:spacing w:line="300" w:lineRule="exact"/>
              <w:jc w:val="left"/>
              <w:rPr>
                <w:rFonts w:ascii="方正书宋_GBK" w:hAnsi="Times New Roman" w:eastAsia="方正书宋_GBK" w:cs="Times New Roman"/>
                <w:szCs w:val="24"/>
              </w:rPr>
            </w:pPr>
            <w:r>
              <w:rPr>
                <w:rFonts w:ascii="方正书宋_GBK" w:hAnsi="Times New Roman" w:eastAsia="方正书宋_GBK" w:cs="Times New Roman"/>
                <w:szCs w:val="24"/>
              </w:rPr>
              <w:t>28.00</w:t>
            </w:r>
          </w:p>
        </w:tc>
        <w:tc>
          <w:tcPr>
            <w:tcW w:w="2976" w:type="dxa"/>
            <w:vMerge w:val="restart"/>
            <w:shd w:val="clear" w:color="auto" w:fill="auto"/>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办理来信来访，日常外事活动和县人大代表团出访事务，内外宾接待，常委会新闻发布和对外宣传，人大系列工作的宣传报道；会议表决系统建设与维护；代表大会和常委会会议公报、人大工作年鉴、大事记和组织史的编写及印刷；负责县内外人大常委会联系；重大课题调研。</w:t>
            </w:r>
          </w:p>
        </w:tc>
        <w:tc>
          <w:tcPr>
            <w:tcW w:w="2976" w:type="dxa"/>
            <w:vMerge w:val="restart"/>
            <w:shd w:val="clear" w:color="auto" w:fill="auto"/>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保障新闻宣传与新闻发布工作正常开展，提高人大信息透明度和影响力；保障会议表决系统正常运转；网络与办公平台正常运行；促进社会和谐稳定。</w:t>
            </w:r>
          </w:p>
        </w:tc>
        <w:tc>
          <w:tcPr>
            <w:tcW w:w="1417" w:type="dxa"/>
            <w:shd w:val="clear" w:color="auto" w:fill="auto"/>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表决系统完好率</w:t>
            </w: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r>
              <w:rPr>
                <w:rFonts w:hint="eastAsia" w:ascii="方正书宋_GBK" w:hAnsi="Times New Roman" w:eastAsia="方正书宋_GBK" w:cs="Times New Roman"/>
                <w:szCs w:val="24"/>
              </w:rPr>
              <w:t>≥</w:t>
            </w:r>
            <w:r>
              <w:rPr>
                <w:rFonts w:ascii="方正书宋_GBK" w:hAnsi="Times New Roman" w:eastAsia="方正书宋_GBK" w:cs="Times New Roman"/>
                <w:szCs w:val="24"/>
              </w:rPr>
              <w:t>100%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ascii="方正书宋_GBK" w:hAnsi="Times New Roman" w:eastAsia="方正书宋_GBK" w:cs="Times New Roman"/>
                <w:szCs w:val="24"/>
              </w:rPr>
              <w:t>95%</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ascii="方正书宋_GBK" w:hAnsi="Times New Roman" w:eastAsia="方正书宋_GBK" w:cs="Times New Roman"/>
                <w:szCs w:val="24"/>
              </w:rPr>
              <w:t>90%</w:t>
            </w: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r>
              <w:rPr>
                <w:rFonts w:ascii="方正书宋_GBK" w:hAnsi="Times New Roman" w:eastAsia="方正书宋_GBK" w:cs="Times New Roman"/>
                <w:szCs w:val="24"/>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hAnsi="Times New Roman" w:eastAsia="方正书宋_GBK" w:cs="Times New Roman"/>
                <w:b/>
                <w:szCs w:val="24"/>
              </w:rPr>
            </w:pPr>
          </w:p>
        </w:tc>
        <w:tc>
          <w:tcPr>
            <w:tcW w:w="1276" w:type="dxa"/>
            <w:vMerge w:val="continue"/>
            <w:shd w:val="clear" w:color="auto" w:fill="auto"/>
            <w:vAlign w:val="center"/>
          </w:tcPr>
          <w:p>
            <w:pPr>
              <w:spacing w:line="300" w:lineRule="exact"/>
              <w:jc w:val="left"/>
              <w:rPr>
                <w:rFonts w:ascii="方正书宋_GBK" w:hAnsi="Times New Roman" w:eastAsia="方正书宋_GBK" w:cs="Times New Roman"/>
                <w:szCs w:val="24"/>
              </w:rPr>
            </w:pPr>
          </w:p>
        </w:tc>
        <w:tc>
          <w:tcPr>
            <w:tcW w:w="2976" w:type="dxa"/>
            <w:vMerge w:val="continue"/>
            <w:shd w:val="clear" w:color="auto" w:fill="auto"/>
            <w:vAlign w:val="center"/>
          </w:tcPr>
          <w:p>
            <w:pPr>
              <w:spacing w:line="300" w:lineRule="exact"/>
              <w:jc w:val="left"/>
              <w:rPr>
                <w:rFonts w:hint="eastAsia" w:ascii="方正书宋_GBK" w:hAnsi="Times New Roman" w:eastAsia="方正书宋_GBK" w:cs="Times New Roman"/>
                <w:szCs w:val="24"/>
              </w:rPr>
            </w:pPr>
          </w:p>
        </w:tc>
        <w:tc>
          <w:tcPr>
            <w:tcW w:w="2976" w:type="dxa"/>
            <w:vMerge w:val="continue"/>
            <w:shd w:val="clear" w:color="auto" w:fill="auto"/>
            <w:vAlign w:val="center"/>
          </w:tcPr>
          <w:p>
            <w:pPr>
              <w:spacing w:line="300" w:lineRule="exact"/>
              <w:jc w:val="left"/>
              <w:rPr>
                <w:rFonts w:hint="eastAsia" w:ascii="方正书宋_GBK" w:hAnsi="Times New Roman" w:eastAsia="方正书宋_GBK" w:cs="Times New Roman"/>
                <w:szCs w:val="24"/>
              </w:rPr>
            </w:pPr>
          </w:p>
        </w:tc>
        <w:tc>
          <w:tcPr>
            <w:tcW w:w="1417" w:type="dxa"/>
            <w:shd w:val="clear" w:color="auto" w:fill="auto"/>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会议表决系统建设与维护工作完成率</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ascii="方正书宋_GBK" w:hAnsi="Times New Roman" w:eastAsia="方正书宋_GBK" w:cs="Times New Roman"/>
                <w:szCs w:val="24"/>
              </w:rPr>
              <w:t>100%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ascii="方正书宋_GBK" w:hAnsi="Times New Roman" w:eastAsia="方正书宋_GBK" w:cs="Times New Roman"/>
                <w:szCs w:val="24"/>
              </w:rPr>
              <w:t>95%</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ascii="方正书宋_GBK" w:hAnsi="Times New Roman" w:eastAsia="方正书宋_GBK" w:cs="Times New Roman"/>
                <w:szCs w:val="24"/>
              </w:rPr>
              <w:t>90%</w:t>
            </w: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r>
              <w:rPr>
                <w:rFonts w:ascii="方正书宋_GBK" w:hAnsi="Times New Roman" w:eastAsia="方正书宋_GBK" w:cs="Times New Roman"/>
                <w:szCs w:val="24"/>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hAnsi="Times New Roman" w:eastAsia="方正书宋_GBK" w:cs="Times New Roman"/>
                <w:b/>
                <w:szCs w:val="24"/>
              </w:rPr>
            </w:pPr>
          </w:p>
        </w:tc>
        <w:tc>
          <w:tcPr>
            <w:tcW w:w="1276" w:type="dxa"/>
            <w:vMerge w:val="continue"/>
            <w:shd w:val="clear" w:color="auto" w:fill="auto"/>
            <w:vAlign w:val="center"/>
          </w:tcPr>
          <w:p>
            <w:pPr>
              <w:spacing w:line="300" w:lineRule="exact"/>
              <w:jc w:val="left"/>
              <w:rPr>
                <w:rFonts w:ascii="方正书宋_GBK" w:hAnsi="Times New Roman" w:eastAsia="方正书宋_GBK" w:cs="Times New Roman"/>
                <w:szCs w:val="24"/>
              </w:rPr>
            </w:pPr>
          </w:p>
        </w:tc>
        <w:tc>
          <w:tcPr>
            <w:tcW w:w="2976" w:type="dxa"/>
            <w:vMerge w:val="continue"/>
            <w:shd w:val="clear" w:color="auto" w:fill="auto"/>
            <w:vAlign w:val="center"/>
          </w:tcPr>
          <w:p>
            <w:pPr>
              <w:spacing w:line="300" w:lineRule="exact"/>
              <w:jc w:val="left"/>
              <w:rPr>
                <w:rFonts w:hint="eastAsia" w:ascii="方正书宋_GBK" w:hAnsi="Times New Roman" w:eastAsia="方正书宋_GBK" w:cs="Times New Roman"/>
                <w:szCs w:val="24"/>
              </w:rPr>
            </w:pPr>
          </w:p>
        </w:tc>
        <w:tc>
          <w:tcPr>
            <w:tcW w:w="2976" w:type="dxa"/>
            <w:vMerge w:val="continue"/>
            <w:shd w:val="clear" w:color="auto" w:fill="auto"/>
            <w:vAlign w:val="center"/>
          </w:tcPr>
          <w:p>
            <w:pPr>
              <w:spacing w:line="300" w:lineRule="exact"/>
              <w:jc w:val="left"/>
              <w:rPr>
                <w:rFonts w:hint="eastAsia" w:ascii="方正书宋_GBK" w:hAnsi="Times New Roman" w:eastAsia="方正书宋_GBK" w:cs="Times New Roman"/>
                <w:szCs w:val="24"/>
              </w:rPr>
            </w:pPr>
          </w:p>
        </w:tc>
        <w:tc>
          <w:tcPr>
            <w:tcW w:w="1417" w:type="dxa"/>
            <w:shd w:val="clear" w:color="auto" w:fill="auto"/>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综合业务管理工作完成率</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Cs w:val="24"/>
              </w:rPr>
            </w:pPr>
            <w:r>
              <w:rPr>
                <w:rFonts w:ascii="方正书宋_GBK" w:hAnsi="Times New Roman" w:eastAsia="方正书宋_GBK" w:cs="Times New Roman"/>
                <w:szCs w:val="24"/>
              </w:rPr>
              <w:t>100%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ascii="方正书宋_GBK" w:hAnsi="Times New Roman" w:eastAsia="方正书宋_GBK" w:cs="Times New Roman"/>
                <w:szCs w:val="24"/>
              </w:rPr>
              <w:t>95%</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ascii="方正书宋_GBK" w:hAnsi="Times New Roman" w:eastAsia="方正书宋_GBK" w:cs="Times New Roman"/>
                <w:szCs w:val="24"/>
              </w:rPr>
              <w:t>90%</w:t>
            </w: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r>
              <w:rPr>
                <w:rFonts w:ascii="方正书宋_GBK" w:hAnsi="Times New Roman" w:eastAsia="方正书宋_GBK" w:cs="Times New Roman"/>
                <w:szCs w:val="24"/>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hAnsi="Times New Roman" w:eastAsia="方正书宋_GBK" w:cs="Times New Roman"/>
                <w:b/>
                <w:szCs w:val="24"/>
              </w:rPr>
            </w:pPr>
            <w:r>
              <w:rPr>
                <w:rFonts w:hint="eastAsia" w:ascii="方正书宋_GBK" w:hAnsi="Times New Roman" w:eastAsia="方正书宋_GBK" w:cs="Times New Roman"/>
                <w:b/>
                <w:szCs w:val="24"/>
              </w:rPr>
              <w:t>　　</w:t>
            </w:r>
            <w:r>
              <w:rPr>
                <w:rFonts w:ascii="方正书宋_GBK" w:hAnsi="Times New Roman" w:eastAsia="方正书宋_GBK" w:cs="Times New Roman"/>
                <w:b/>
                <w:szCs w:val="24"/>
              </w:rPr>
              <w:t>2</w:t>
            </w:r>
            <w:r>
              <w:rPr>
                <w:rFonts w:hint="eastAsia" w:ascii="方正书宋_GBK" w:hAnsi="Times New Roman" w:eastAsia="方正书宋_GBK" w:cs="Times New Roman"/>
                <w:b/>
                <w:szCs w:val="24"/>
              </w:rPr>
              <w:t>、综合事务管理</w:t>
            </w:r>
          </w:p>
        </w:tc>
        <w:tc>
          <w:tcPr>
            <w:tcW w:w="1276" w:type="dxa"/>
            <w:shd w:val="clear" w:color="auto" w:fill="auto"/>
            <w:vAlign w:val="center"/>
          </w:tcPr>
          <w:p>
            <w:pPr>
              <w:spacing w:line="300" w:lineRule="exact"/>
              <w:jc w:val="left"/>
              <w:rPr>
                <w:rFonts w:ascii="方正书宋_GBK" w:hAnsi="Times New Roman" w:eastAsia="方正书宋_GBK" w:cs="Times New Roman"/>
                <w:szCs w:val="24"/>
              </w:rPr>
            </w:pPr>
            <w:r>
              <w:rPr>
                <w:rFonts w:ascii="方正书宋_GBK" w:hAnsi="Times New Roman" w:eastAsia="方正书宋_GBK" w:cs="Times New Roman"/>
                <w:szCs w:val="24"/>
              </w:rPr>
              <w:t>50.00</w:t>
            </w:r>
          </w:p>
        </w:tc>
        <w:tc>
          <w:tcPr>
            <w:tcW w:w="2976" w:type="dxa"/>
            <w:shd w:val="clear" w:color="auto" w:fill="auto"/>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负责机关文书档案印信管理和保密，机关人事、离退休人员服务，财务、基建、后勤服务及警卫工作；机关信息建设和办公自动化建设；负责对全县人大系统信息建设和办公自动化建设的指导、规划、组织、协调和人员培训工作；纪检组办案及培训；领导交办的其他工作。</w:t>
            </w:r>
          </w:p>
        </w:tc>
        <w:tc>
          <w:tcPr>
            <w:tcW w:w="2976" w:type="dxa"/>
            <w:shd w:val="clear" w:color="auto" w:fill="auto"/>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机关基础设施设备正常运转，信息化保障、老干部服务保障能力进一步提高。</w:t>
            </w:r>
          </w:p>
        </w:tc>
        <w:tc>
          <w:tcPr>
            <w:tcW w:w="1417" w:type="dxa"/>
            <w:shd w:val="clear" w:color="auto" w:fill="auto"/>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综合事务管理工作完成率</w:t>
            </w: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r>
              <w:rPr>
                <w:rFonts w:ascii="方正书宋_GBK" w:hAnsi="Times New Roman" w:eastAsia="方正书宋_GBK" w:cs="Times New Roman"/>
                <w:szCs w:val="24"/>
              </w:rPr>
              <w:t>100%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ascii="方正书宋_GBK" w:hAnsi="Times New Roman" w:eastAsia="方正书宋_GBK" w:cs="Times New Roman"/>
                <w:szCs w:val="24"/>
              </w:rPr>
              <w:t>95%</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ascii="方正书宋_GBK" w:hAnsi="Times New Roman" w:eastAsia="方正书宋_GBK" w:cs="Times New Roman"/>
                <w:szCs w:val="24"/>
              </w:rPr>
              <w:t>90%</w:t>
            </w: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r>
              <w:rPr>
                <w:rFonts w:ascii="方正书宋_GBK" w:hAnsi="Times New Roman" w:eastAsia="方正书宋_GBK" w:cs="Times New Roman"/>
                <w:szCs w:val="24"/>
              </w:rPr>
              <w:t>&lt;90%</w:t>
            </w:r>
          </w:p>
        </w:tc>
      </w:tr>
    </w:tbl>
    <w:p>
      <w:pPr>
        <w:spacing w:line="300" w:lineRule="exact"/>
        <w:jc w:val="left"/>
        <w:outlineLvl w:val="0"/>
        <w:rPr>
          <w:rFonts w:ascii="Times New Roman" w:hAnsi="Times New Roman" w:eastAsia="宋体" w:cs="Times New Roman"/>
          <w:szCs w:val="24"/>
        </w:rPr>
        <w:sectPr>
          <w:pgSz w:w="16839" w:h="11907" w:orient="landscape"/>
          <w:pgMar w:top="1020" w:right="1361" w:bottom="1020" w:left="1361" w:header="851" w:footer="992" w:gutter="0"/>
          <w:cols w:space="425" w:num="1"/>
          <w:docGrid w:type="lines" w:linePitch="312" w:charSpace="0"/>
        </w:sectPr>
      </w:pPr>
    </w:p>
    <w:bookmarkEnd w:id="0"/>
    <w:p>
      <w:pPr>
        <w:ind w:firstLine="640"/>
        <w:rPr>
          <w:rFonts w:ascii="黑体" w:hAnsi="黑体" w:eastAsia="黑体" w:cs="Times New Roman"/>
          <w:sz w:val="32"/>
          <w:szCs w:val="32"/>
        </w:rPr>
      </w:pPr>
      <w:r>
        <w:rPr>
          <w:rFonts w:hint="eastAsia" w:ascii="黑体" w:hAnsi="黑体" w:eastAsia="黑体" w:cs="Times New Roman"/>
          <w:sz w:val="32"/>
          <w:szCs w:val="32"/>
        </w:rPr>
        <w:t>六、政府采购预算情况</w:t>
      </w:r>
    </w:p>
    <w:p>
      <w:pPr>
        <w:widowControl/>
        <w:shd w:val="clear" w:color="auto" w:fill="FFFFFF"/>
        <w:spacing w:line="580" w:lineRule="atLeast"/>
        <w:ind w:firstLine="640"/>
        <w:jc w:val="left"/>
        <w:rPr>
          <w:rFonts w:hint="eastAsia" w:ascii="仿宋" w:hAnsi="仿宋" w:eastAsia="仿宋" w:cs="Times New Roman"/>
          <w:sz w:val="32"/>
          <w:szCs w:val="32"/>
        </w:rPr>
      </w:pPr>
      <w:bookmarkStart w:id="2" w:name="_Toc471398468"/>
      <w:r>
        <w:rPr>
          <w:rFonts w:cs="Times New Roman" w:asciiTheme="minorEastAsia" w:hAnsiTheme="minorEastAsia"/>
          <w:sz w:val="32"/>
          <w:szCs w:val="32"/>
        </w:rPr>
        <w:t xml:space="preserve">  </w:t>
      </w:r>
      <w:bookmarkEnd w:id="2"/>
      <w:r>
        <w:rPr>
          <w:rFonts w:hint="eastAsia" w:ascii="仿宋" w:hAnsi="仿宋" w:eastAsia="仿宋" w:cs="Times New Roman"/>
          <w:sz w:val="32"/>
          <w:szCs w:val="32"/>
        </w:rPr>
        <w:t>本年度部门预算共计安排政府采购项目为0类</w:t>
      </w:r>
      <w:r>
        <w:rPr>
          <w:rFonts w:hint="eastAsia" w:ascii="仿宋" w:hAnsi="仿宋" w:eastAsia="仿宋" w:cs="Times New Roman"/>
          <w:sz w:val="32"/>
          <w:szCs w:val="32"/>
          <w:lang w:val="en-US" w:eastAsia="zh-CN"/>
        </w:rPr>
        <w:t>0个</w:t>
      </w:r>
      <w:r>
        <w:rPr>
          <w:rFonts w:hint="eastAsia" w:ascii="仿宋" w:hAnsi="仿宋" w:eastAsia="仿宋" w:cs="Times New Roman"/>
          <w:sz w:val="32"/>
          <w:szCs w:val="32"/>
        </w:rPr>
        <w:t>，涉及金额0万元</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其中：货物类0个，涉及金额0万元，主要包括0物品0件（台、套）</w:t>
      </w:r>
      <w:r>
        <w:rPr>
          <w:rFonts w:hint="eastAsia" w:ascii="仿宋" w:hAnsi="仿宋" w:eastAsia="仿宋" w:cs="Times New Roman"/>
          <w:sz w:val="32"/>
          <w:szCs w:val="32"/>
        </w:rPr>
        <w:t>；工程类0个，涉及金额0万元</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主要包括0工程0项</w:t>
      </w:r>
      <w:r>
        <w:rPr>
          <w:rFonts w:hint="eastAsia" w:ascii="仿宋" w:hAnsi="仿宋" w:eastAsia="仿宋" w:cs="Times New Roman"/>
          <w:sz w:val="32"/>
          <w:szCs w:val="32"/>
        </w:rPr>
        <w:t>；服务类0个，涉及金额0万元</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主要包括0服务0项</w:t>
      </w:r>
      <w:r>
        <w:rPr>
          <w:rFonts w:hint="eastAsia" w:ascii="仿宋" w:hAnsi="仿宋" w:eastAsia="仿宋" w:cs="Times New Roman"/>
          <w:sz w:val="32"/>
          <w:szCs w:val="32"/>
        </w:rPr>
        <w:t>。</w:t>
      </w:r>
    </w:p>
    <w:p>
      <w:pPr>
        <w:jc w:val="center"/>
        <w:outlineLvl w:val="0"/>
        <w:rPr>
          <w:rFonts w:ascii="宋体" w:hAnsi="宋体"/>
          <w:sz w:val="32"/>
          <w:szCs w:val="24"/>
        </w:rPr>
      </w:pPr>
      <w:r>
        <w:rPr>
          <w:rFonts w:hint="eastAsia" w:ascii="宋体" w:hAnsi="宋体"/>
          <w:sz w:val="32"/>
          <w:szCs w:val="24"/>
        </w:rPr>
        <w:t>部门政府采购预算</w:t>
      </w:r>
    </w:p>
    <w:tbl>
      <w:tblPr>
        <w:tblStyle w:val="7"/>
        <w:tblW w:w="1449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1"/>
        <w:gridCol w:w="1066"/>
        <w:gridCol w:w="879"/>
        <w:gridCol w:w="1398"/>
        <w:gridCol w:w="879"/>
        <w:gridCol w:w="879"/>
        <w:gridCol w:w="902"/>
        <w:gridCol w:w="899"/>
        <w:gridCol w:w="899"/>
        <w:gridCol w:w="899"/>
        <w:gridCol w:w="818"/>
        <w:gridCol w:w="881"/>
        <w:gridCol w:w="881"/>
        <w:gridCol w:w="8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394"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hAnsi="Times New Roman" w:eastAsia="方正小标宋_GBK"/>
                <w:sz w:val="24"/>
                <w:szCs w:val="24"/>
              </w:rPr>
            </w:pPr>
            <w:r>
              <w:rPr>
                <w:rFonts w:ascii="方正小标宋_GBK" w:hAnsi="Times New Roman" w:eastAsia="方正小标宋_GBK" w:cs="Times New Roman"/>
                <w:sz w:val="24"/>
                <w:szCs w:val="24"/>
              </w:rPr>
              <w:t>101</w:t>
            </w:r>
            <w:r>
              <w:rPr>
                <w:rFonts w:hint="eastAsia" w:ascii="方正小标宋_GBK" w:hAnsi="Times New Roman" w:eastAsia="方正小标宋_GBK" w:cs="Times New Roman"/>
                <w:sz w:val="24"/>
                <w:szCs w:val="24"/>
              </w:rPr>
              <w:t>县人大常委会</w:t>
            </w:r>
            <w:bookmarkStart w:id="3" w:name="_GoBack"/>
            <w:bookmarkEnd w:id="3"/>
          </w:p>
        </w:tc>
        <w:tc>
          <w:tcPr>
            <w:tcW w:w="61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Times New Roman" w:eastAsia="方正书宋_GBK"/>
                <w:sz w:val="24"/>
                <w:szCs w:val="24"/>
              </w:rPr>
            </w:pPr>
            <w:r>
              <w:rPr>
                <w:rFonts w:hint="eastAsia" w:ascii="方正书宋_GBK" w:hAnsi="Times New Roman" w:eastAsia="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457" w:type="dxa"/>
            <w:gridSpan w:val="2"/>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政府采购项目来源</w:t>
            </w:r>
          </w:p>
        </w:tc>
        <w:tc>
          <w:tcPr>
            <w:tcW w:w="87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采购物品名称</w:t>
            </w:r>
          </w:p>
        </w:tc>
        <w:tc>
          <w:tcPr>
            <w:tcW w:w="1398"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政府采购目录序号</w:t>
            </w:r>
          </w:p>
        </w:tc>
        <w:tc>
          <w:tcPr>
            <w:tcW w:w="87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数量  单位</w:t>
            </w:r>
          </w:p>
        </w:tc>
        <w:tc>
          <w:tcPr>
            <w:tcW w:w="87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数量</w:t>
            </w:r>
          </w:p>
        </w:tc>
        <w:tc>
          <w:tcPr>
            <w:tcW w:w="902"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单价</w:t>
            </w:r>
          </w:p>
        </w:tc>
        <w:tc>
          <w:tcPr>
            <w:tcW w:w="6103" w:type="dxa"/>
            <w:gridSpan w:val="7"/>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91"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项目名称</w:t>
            </w:r>
          </w:p>
        </w:tc>
        <w:tc>
          <w:tcPr>
            <w:tcW w:w="1066"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预算资金</w:t>
            </w: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1398"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902" w:type="dxa"/>
            <w:vMerge w:val="continue"/>
            <w:shd w:val="clear" w:color="auto" w:fill="auto"/>
            <w:vAlign w:val="center"/>
          </w:tcPr>
          <w:p>
            <w:pPr>
              <w:spacing w:line="300" w:lineRule="exact"/>
              <w:jc w:val="left"/>
              <w:outlineLvl w:val="0"/>
              <w:rPr>
                <w:rFonts w:ascii="Times New Roman" w:hAnsi="Times New Roman"/>
                <w:szCs w:val="24"/>
              </w:rPr>
            </w:pPr>
          </w:p>
        </w:tc>
        <w:tc>
          <w:tcPr>
            <w:tcW w:w="89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总计</w:t>
            </w:r>
          </w:p>
        </w:tc>
        <w:tc>
          <w:tcPr>
            <w:tcW w:w="4378" w:type="dxa"/>
            <w:gridSpan w:val="5"/>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当年部门预算安排资金</w:t>
            </w:r>
          </w:p>
        </w:tc>
        <w:tc>
          <w:tcPr>
            <w:tcW w:w="826"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91" w:type="dxa"/>
            <w:vMerge w:val="continue"/>
            <w:shd w:val="clear" w:color="auto" w:fill="auto"/>
            <w:vAlign w:val="center"/>
          </w:tcPr>
          <w:p>
            <w:pPr>
              <w:spacing w:line="300" w:lineRule="exact"/>
              <w:jc w:val="left"/>
              <w:outlineLvl w:val="0"/>
              <w:rPr>
                <w:rFonts w:ascii="Times New Roman" w:hAnsi="Times New Roman"/>
                <w:szCs w:val="24"/>
              </w:rPr>
            </w:pPr>
          </w:p>
        </w:tc>
        <w:tc>
          <w:tcPr>
            <w:tcW w:w="1066"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1398"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902" w:type="dxa"/>
            <w:vMerge w:val="continue"/>
            <w:shd w:val="clear" w:color="auto" w:fill="auto"/>
            <w:vAlign w:val="center"/>
          </w:tcPr>
          <w:p>
            <w:pPr>
              <w:spacing w:line="300" w:lineRule="exact"/>
              <w:jc w:val="left"/>
              <w:outlineLvl w:val="0"/>
              <w:rPr>
                <w:rFonts w:ascii="Times New Roman" w:hAnsi="Times New Roman"/>
                <w:szCs w:val="24"/>
              </w:rPr>
            </w:pPr>
          </w:p>
        </w:tc>
        <w:tc>
          <w:tcPr>
            <w:tcW w:w="899" w:type="dxa"/>
            <w:vMerge w:val="continue"/>
            <w:shd w:val="clear" w:color="auto" w:fill="auto"/>
            <w:vAlign w:val="center"/>
          </w:tcPr>
          <w:p>
            <w:pPr>
              <w:spacing w:line="300" w:lineRule="exact"/>
              <w:jc w:val="left"/>
              <w:outlineLvl w:val="0"/>
              <w:rPr>
                <w:rFonts w:ascii="Times New Roman" w:hAnsi="Times New Roman"/>
                <w:szCs w:val="24"/>
              </w:rPr>
            </w:pPr>
          </w:p>
        </w:tc>
        <w:tc>
          <w:tcPr>
            <w:tcW w:w="899"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合计</w:t>
            </w:r>
          </w:p>
        </w:tc>
        <w:tc>
          <w:tcPr>
            <w:tcW w:w="899"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一般公共预算拨款</w:t>
            </w:r>
          </w:p>
        </w:tc>
        <w:tc>
          <w:tcPr>
            <w:tcW w:w="818"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基金预算拨款</w:t>
            </w:r>
          </w:p>
        </w:tc>
        <w:tc>
          <w:tcPr>
            <w:tcW w:w="881"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财政专户核拨</w:t>
            </w:r>
          </w:p>
        </w:tc>
        <w:tc>
          <w:tcPr>
            <w:tcW w:w="881"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其他来源收入</w:t>
            </w:r>
          </w:p>
        </w:tc>
        <w:tc>
          <w:tcPr>
            <w:tcW w:w="826" w:type="dxa"/>
            <w:vMerge w:val="continue"/>
            <w:shd w:val="clear" w:color="auto" w:fill="auto"/>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合　计</w:t>
            </w:r>
          </w:p>
        </w:tc>
        <w:tc>
          <w:tcPr>
            <w:tcW w:w="1066" w:type="dxa"/>
            <w:shd w:val="clear" w:color="auto" w:fill="auto"/>
            <w:vAlign w:val="center"/>
          </w:tcPr>
          <w:p>
            <w:pPr>
              <w:spacing w:line="300" w:lineRule="exact"/>
              <w:jc w:val="righ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1398"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right"/>
              <w:rPr>
                <w:rFonts w:ascii="方正书宋_GBK" w:hAnsi="Times New Roman" w:eastAsia="方正书宋_GBK"/>
                <w:b/>
                <w:szCs w:val="24"/>
              </w:rPr>
            </w:pPr>
          </w:p>
        </w:tc>
        <w:tc>
          <w:tcPr>
            <w:tcW w:w="902"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18"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26" w:type="dxa"/>
            <w:shd w:val="clear" w:color="auto" w:fill="auto"/>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center"/>
              <w:rPr>
                <w:rFonts w:ascii="方正书宋_GBK" w:hAnsi="Times New Roman" w:eastAsia="方正书宋_GBK"/>
                <w:b/>
                <w:szCs w:val="24"/>
              </w:rPr>
            </w:pPr>
          </w:p>
        </w:tc>
        <w:tc>
          <w:tcPr>
            <w:tcW w:w="1066" w:type="dxa"/>
            <w:shd w:val="clear" w:color="auto" w:fill="auto"/>
            <w:vAlign w:val="center"/>
          </w:tcPr>
          <w:p>
            <w:pPr>
              <w:spacing w:line="300" w:lineRule="exact"/>
              <w:jc w:val="righ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1398"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right"/>
              <w:rPr>
                <w:rFonts w:ascii="方正书宋_GBK" w:hAnsi="Times New Roman" w:eastAsia="方正书宋_GBK"/>
                <w:b/>
                <w:szCs w:val="24"/>
              </w:rPr>
            </w:pPr>
          </w:p>
        </w:tc>
        <w:tc>
          <w:tcPr>
            <w:tcW w:w="902"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18"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26" w:type="dxa"/>
            <w:shd w:val="clear" w:color="auto" w:fill="auto"/>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left"/>
              <w:rPr>
                <w:rFonts w:ascii="方正书宋_GBK" w:hAnsi="Times New Roman" w:eastAsia="方正书宋_GBK"/>
                <w:szCs w:val="24"/>
              </w:rPr>
            </w:pPr>
          </w:p>
        </w:tc>
        <w:tc>
          <w:tcPr>
            <w:tcW w:w="1066" w:type="dxa"/>
            <w:shd w:val="clear" w:color="auto" w:fill="auto"/>
            <w:vAlign w:val="center"/>
          </w:tcPr>
          <w:p>
            <w:pPr>
              <w:spacing w:line="300" w:lineRule="exact"/>
              <w:jc w:val="righ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1398"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right"/>
              <w:rPr>
                <w:rFonts w:ascii="方正书宋_GBK" w:hAnsi="Times New Roman" w:eastAsia="方正书宋_GBK"/>
                <w:szCs w:val="24"/>
              </w:rPr>
            </w:pPr>
          </w:p>
        </w:tc>
        <w:tc>
          <w:tcPr>
            <w:tcW w:w="902"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18"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26" w:type="dxa"/>
            <w:shd w:val="clear" w:color="auto" w:fill="auto"/>
            <w:vAlign w:val="center"/>
          </w:tcPr>
          <w:p>
            <w:pPr>
              <w:spacing w:line="300" w:lineRule="exact"/>
              <w:jc w:val="right"/>
              <w:rPr>
                <w:rFonts w:ascii="方正书宋_GBK"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left"/>
              <w:rPr>
                <w:rFonts w:ascii="方正书宋_GBK" w:hAnsi="Times New Roman" w:eastAsia="方正书宋_GBK"/>
                <w:szCs w:val="24"/>
              </w:rPr>
            </w:pPr>
          </w:p>
        </w:tc>
        <w:tc>
          <w:tcPr>
            <w:tcW w:w="1066" w:type="dxa"/>
            <w:shd w:val="clear" w:color="auto" w:fill="auto"/>
            <w:vAlign w:val="center"/>
          </w:tcPr>
          <w:p>
            <w:pPr>
              <w:spacing w:line="300" w:lineRule="exact"/>
              <w:jc w:val="righ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1398"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right"/>
              <w:rPr>
                <w:rFonts w:ascii="方正书宋_GBK" w:hAnsi="Times New Roman" w:eastAsia="方正书宋_GBK"/>
                <w:szCs w:val="24"/>
              </w:rPr>
            </w:pPr>
          </w:p>
        </w:tc>
        <w:tc>
          <w:tcPr>
            <w:tcW w:w="902"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18"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26" w:type="dxa"/>
            <w:shd w:val="clear" w:color="auto" w:fill="auto"/>
            <w:vAlign w:val="center"/>
          </w:tcPr>
          <w:p>
            <w:pPr>
              <w:spacing w:line="300" w:lineRule="exact"/>
              <w:jc w:val="right"/>
              <w:rPr>
                <w:rFonts w:ascii="方正书宋_GBK" w:hAnsi="Times New Roman" w:eastAsia="方正书宋_GBK"/>
                <w:szCs w:val="24"/>
              </w:rPr>
            </w:pPr>
          </w:p>
        </w:tc>
      </w:tr>
    </w:tbl>
    <w:p>
      <w:pPr>
        <w:widowControl/>
        <w:shd w:val="clear" w:color="auto" w:fill="FFFFFF"/>
        <w:spacing w:line="580" w:lineRule="atLeast"/>
        <w:ind w:firstLine="640"/>
        <w:jc w:val="left"/>
        <w:rPr>
          <w:rFonts w:hint="eastAsia" w:ascii="仿宋" w:hAnsi="仿宋" w:eastAsia="仿宋" w:cs="Times New Roman"/>
          <w:sz w:val="32"/>
          <w:szCs w:val="32"/>
        </w:rPr>
      </w:pP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spacing w:line="560" w:lineRule="exact"/>
        <w:ind w:firstLine="640" w:firstLineChars="200"/>
        <w:rPr>
          <w:rFonts w:hint="eastAsia" w:ascii="仿宋" w:hAnsi="仿宋" w:eastAsia="仿宋" w:cs="Times New Roman"/>
          <w:b/>
          <w:sz w:val="32"/>
          <w:szCs w:val="32"/>
          <w:highlight w:val="red"/>
        </w:rPr>
      </w:pPr>
      <w:r>
        <w:rPr>
          <w:rFonts w:hint="eastAsia" w:ascii="仿宋" w:hAnsi="仿宋" w:eastAsia="仿宋" w:cs="Times New Roman"/>
          <w:sz w:val="32"/>
          <w:szCs w:val="32"/>
        </w:rPr>
        <w:t>香河县人大（含所属单位）上年末固定资产金额为228.2074万元，本年度各单位（处室）</w:t>
      </w:r>
      <w:r>
        <w:rPr>
          <w:rFonts w:hint="eastAsia" w:ascii="仿宋" w:hAnsi="仿宋" w:eastAsia="仿宋" w:cs="Times New Roman"/>
          <w:sz w:val="32"/>
          <w:szCs w:val="32"/>
          <w:lang w:val="en-US" w:eastAsia="zh-CN"/>
        </w:rPr>
        <w:t>无</w:t>
      </w:r>
      <w:r>
        <w:rPr>
          <w:rFonts w:hint="eastAsia" w:ascii="仿宋" w:hAnsi="仿宋" w:eastAsia="仿宋" w:cs="Times New Roman"/>
          <w:sz w:val="32"/>
          <w:szCs w:val="32"/>
        </w:rPr>
        <w:t>政府采购预算。详见下表。</w:t>
      </w:r>
    </w:p>
    <w:p>
      <w:pPr>
        <w:spacing w:line="560" w:lineRule="exact"/>
        <w:ind w:firstLine="643" w:firstLineChars="200"/>
        <w:rPr>
          <w:rFonts w:ascii="仿宋" w:hAnsi="仿宋" w:eastAsia="仿宋" w:cs="Times New Roman"/>
          <w:b/>
          <w:sz w:val="32"/>
          <w:szCs w:val="32"/>
          <w:highlight w:val="red"/>
        </w:rPr>
      </w:pP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jc w:val="center"/>
              <w:rPr>
                <w:rFonts w:cs="宋体" w:asciiTheme="minorEastAsia" w:hAnsiTheme="minorEastAsia"/>
                <w:b/>
                <w:bCs/>
                <w:kern w:val="0"/>
                <w:sz w:val="32"/>
                <w:szCs w:val="32"/>
              </w:rPr>
            </w:pPr>
            <w:r>
              <w:rPr>
                <w:rFonts w:hint="eastAsia" w:cs="宋体" w:asciiTheme="minorEastAsia" w:hAnsiTheme="minorEastAsia"/>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编制部门：香河县人大</w:t>
            </w:r>
          </w:p>
        </w:tc>
        <w:tc>
          <w:tcPr>
            <w:tcW w:w="5103"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截止时间：2017年12月31日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228.2074</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2500</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119.98</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2500</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119.98</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75.96</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3、单价在50万元以上的设备</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32.2674</w:t>
            </w:r>
          </w:p>
        </w:tc>
      </w:tr>
    </w:tbl>
    <w:p>
      <w:pPr>
        <w:ind w:firstLine="640"/>
        <w:rPr>
          <w:rFonts w:ascii="黑体" w:hAnsi="黑体" w:eastAsia="黑体" w:cs="Times New Roman"/>
          <w:sz w:val="32"/>
          <w:szCs w:val="32"/>
        </w:rPr>
      </w:pPr>
      <w:r>
        <w:rPr>
          <w:rFonts w:hint="eastAsia" w:ascii="黑体" w:hAnsi="黑体" w:eastAsia="黑体" w:cs="Times New Roman"/>
          <w:sz w:val="32"/>
          <w:szCs w:val="32"/>
        </w:rPr>
        <w:t>八、名词解释</w:t>
      </w:r>
    </w:p>
    <w:p>
      <w:pPr>
        <w:pStyle w:val="10"/>
        <w:ind w:firstLine="630" w:firstLineChars="196"/>
        <w:rPr>
          <w:rFonts w:ascii="仿宋_GB2312" w:eastAsia="仿宋_GB2312"/>
          <w:b/>
          <w:bCs/>
          <w:sz w:val="32"/>
          <w:szCs w:val="32"/>
        </w:rPr>
      </w:pPr>
      <w:r>
        <w:rPr>
          <w:rFonts w:hint="eastAsia" w:ascii="仿宋_GB2312" w:eastAsia="仿宋_GB2312"/>
          <w:b/>
          <w:bCs/>
          <w:sz w:val="32"/>
          <w:szCs w:val="32"/>
        </w:rPr>
        <w:t>1</w:t>
      </w:r>
      <w:r>
        <w:rPr>
          <w:rFonts w:hint="eastAsia" w:ascii="仿宋_GB2312" w:hAnsi="方正仿宋_GBK" w:eastAsia="仿宋_GB2312" w:cs="方正仿宋_GBK"/>
          <w:sz w:val="32"/>
          <w:szCs w:val="32"/>
        </w:rPr>
        <w:t>、一般公共预算拨款收入：指县级财政当年拨付的资金。</w:t>
      </w:r>
    </w:p>
    <w:p>
      <w:pPr>
        <w:pStyle w:val="10"/>
        <w:rPr>
          <w:rFonts w:ascii="仿宋_GB2312" w:hAnsi="方正仿宋_GBK" w:eastAsia="仿宋_GB2312" w:cs="方正仿宋_GBK"/>
          <w:sz w:val="32"/>
          <w:szCs w:val="32"/>
        </w:rPr>
      </w:pPr>
      <w:r>
        <w:rPr>
          <w:rFonts w:hint="eastAsia" w:ascii="仿宋_GB2312" w:eastAsia="仿宋_GB2312"/>
          <w:b/>
          <w:bCs/>
          <w:sz w:val="32"/>
          <w:szCs w:val="32"/>
        </w:rPr>
        <w:t xml:space="preserve">    2</w:t>
      </w:r>
      <w:r>
        <w:rPr>
          <w:rFonts w:hint="eastAsia" w:ascii="仿宋_GB2312" w:hAnsi="方正仿宋_GBK" w:eastAsia="仿宋_GB2312" w:cs="方正仿宋_GBK"/>
          <w:sz w:val="32"/>
          <w:szCs w:val="32"/>
        </w:rPr>
        <w:t>、事业收入：指事业单位开展专业业务活动及辅助活动所取得的收入。</w:t>
      </w:r>
    </w:p>
    <w:p>
      <w:pPr>
        <w:pStyle w:val="10"/>
        <w:rPr>
          <w:rFonts w:ascii="仿宋_GB2312" w:hAnsi="方正仿宋_GBK" w:eastAsia="仿宋_GB2312" w:cs="方正仿宋_GBK"/>
          <w:sz w:val="32"/>
          <w:szCs w:val="32"/>
        </w:rPr>
      </w:pPr>
      <w:r>
        <w:rPr>
          <w:rFonts w:hint="eastAsia" w:ascii="仿宋_GB2312" w:eastAsia="仿宋_GB2312"/>
          <w:b/>
          <w:bCs/>
          <w:sz w:val="32"/>
          <w:szCs w:val="32"/>
        </w:rPr>
        <w:t xml:space="preserve">    3</w:t>
      </w:r>
      <w:r>
        <w:rPr>
          <w:rFonts w:hint="eastAsia" w:ascii="仿宋_GB2312" w:hAnsi="方正仿宋_GBK" w:eastAsia="仿宋_GB2312" w:cs="方正仿宋_GBK"/>
          <w:sz w:val="32"/>
          <w:szCs w:val="32"/>
        </w:rPr>
        <w:t>、其他收入：指除上述</w:t>
      </w:r>
      <w:r>
        <w:rPr>
          <w:rFonts w:hint="eastAsia" w:ascii="仿宋_GB2312" w:eastAsia="仿宋_GB2312"/>
          <w:sz w:val="32"/>
          <w:szCs w:val="32"/>
        </w:rPr>
        <w:t>“</w:t>
      </w:r>
      <w:r>
        <w:rPr>
          <w:rFonts w:hint="eastAsia" w:ascii="仿宋_GB2312" w:hAnsi="方正仿宋_GBK" w:eastAsia="仿宋_GB2312" w:cs="方正仿宋_GBK"/>
          <w:sz w:val="32"/>
          <w:szCs w:val="32"/>
        </w:rPr>
        <w:t>财政拨款收入</w:t>
      </w:r>
      <w:r>
        <w:rPr>
          <w:rFonts w:hint="eastAsia" w:ascii="仿宋_GB2312" w:eastAsia="仿宋_GB2312"/>
          <w:sz w:val="32"/>
          <w:szCs w:val="32"/>
        </w:rPr>
        <w:t>”</w:t>
      </w:r>
      <w:r>
        <w:rPr>
          <w:rFonts w:hint="eastAsia" w:ascii="仿宋_GB2312" w:hAnsi="方正仿宋_GBK" w:eastAsia="仿宋_GB2312" w:cs="方正仿宋_GBK"/>
          <w:sz w:val="32"/>
          <w:szCs w:val="32"/>
        </w:rPr>
        <w:t>、</w:t>
      </w:r>
      <w:r>
        <w:rPr>
          <w:rFonts w:hint="eastAsia" w:ascii="仿宋_GB2312" w:eastAsia="仿宋_GB2312"/>
          <w:sz w:val="32"/>
          <w:szCs w:val="32"/>
        </w:rPr>
        <w:t>“</w:t>
      </w:r>
      <w:r>
        <w:rPr>
          <w:rFonts w:hint="eastAsia" w:ascii="仿宋_GB2312" w:hAnsi="方正仿宋_GBK" w:eastAsia="仿宋_GB2312" w:cs="方正仿宋_GBK"/>
          <w:sz w:val="32"/>
          <w:szCs w:val="32"/>
        </w:rPr>
        <w:t>事业收入</w:t>
      </w:r>
      <w:r>
        <w:rPr>
          <w:rFonts w:hint="eastAsia" w:ascii="仿宋_GB2312" w:eastAsia="仿宋_GB2312"/>
          <w:sz w:val="32"/>
          <w:szCs w:val="32"/>
        </w:rPr>
        <w:t>”</w:t>
      </w:r>
      <w:r>
        <w:rPr>
          <w:rFonts w:hint="eastAsia" w:ascii="仿宋_GB2312" w:hAnsi="方正仿宋_GBK" w:eastAsia="仿宋_GB2312" w:cs="方正仿宋_GBK"/>
          <w:sz w:val="32"/>
          <w:szCs w:val="32"/>
        </w:rPr>
        <w:t>等以外的收入。主要是按规定动用的租房收入、存款利息收入等。</w:t>
      </w:r>
    </w:p>
    <w:p>
      <w:pPr>
        <w:pStyle w:val="10"/>
        <w:rPr>
          <w:rFonts w:ascii="仿宋_GB2312" w:hAnsi="方正仿宋_GBK" w:eastAsia="仿宋_GB2312" w:cs="方正仿宋_GBK"/>
          <w:sz w:val="32"/>
          <w:szCs w:val="32"/>
        </w:rPr>
      </w:pPr>
      <w:r>
        <w:rPr>
          <w:rFonts w:hint="eastAsia" w:ascii="仿宋_GB2312" w:eastAsia="仿宋_GB2312"/>
          <w:b/>
          <w:bCs/>
          <w:sz w:val="32"/>
          <w:szCs w:val="32"/>
        </w:rPr>
        <w:t xml:space="preserve">    4</w:t>
      </w:r>
      <w:r>
        <w:rPr>
          <w:rFonts w:hint="eastAsia" w:ascii="仿宋_GB2312" w:hAnsi="方正仿宋_GBK" w:eastAsia="仿宋_GB2312" w:cs="方正仿宋_GBK"/>
          <w:sz w:val="32"/>
          <w:szCs w:val="32"/>
        </w:rPr>
        <w:t>、基本支出：</w:t>
      </w:r>
      <w:r>
        <w:rPr>
          <w:rFonts w:hint="eastAsia" w:ascii="仿宋_GB2312" w:eastAsia="仿宋_GB2312"/>
          <w:sz w:val="32"/>
          <w:szCs w:val="32"/>
        </w:rPr>
        <w:t>指为保障机构正常运转、完成日常工作任务而发生的人员支出和公用支出。</w:t>
      </w:r>
    </w:p>
    <w:p>
      <w:pPr>
        <w:rPr>
          <w:rFonts w:ascii="仿宋_GB2312" w:eastAsia="仿宋_GB2312"/>
          <w:sz w:val="32"/>
          <w:szCs w:val="32"/>
        </w:rPr>
      </w:pPr>
      <w:r>
        <w:rPr>
          <w:rFonts w:hint="eastAsia" w:ascii="仿宋_GB2312" w:eastAsia="仿宋_GB2312"/>
          <w:b/>
          <w:bCs/>
          <w:sz w:val="32"/>
          <w:szCs w:val="32"/>
        </w:rPr>
        <w:t xml:space="preserve">    5</w:t>
      </w:r>
      <w:r>
        <w:rPr>
          <w:rFonts w:hint="eastAsia" w:ascii="仿宋_GB2312" w:hAnsi="方正仿宋_GBK" w:eastAsia="仿宋_GB2312" w:cs="方正仿宋_GBK"/>
          <w:sz w:val="32"/>
          <w:szCs w:val="32"/>
        </w:rPr>
        <w:t>、项目支出：</w:t>
      </w:r>
      <w:r>
        <w:rPr>
          <w:rFonts w:hint="eastAsia" w:ascii="仿宋_GB2312" w:eastAsia="仿宋_GB2312"/>
          <w:sz w:val="32"/>
          <w:szCs w:val="32"/>
        </w:rPr>
        <w:t>指在基本支出之外为完成特定行政任务和事业发展目标所发生的支出。</w:t>
      </w:r>
    </w:p>
    <w:p>
      <w:pPr>
        <w:pStyle w:val="10"/>
        <w:rPr>
          <w:rFonts w:ascii="仿宋_GB2312" w:eastAsia="仿宋_GB2312"/>
          <w:sz w:val="32"/>
          <w:szCs w:val="32"/>
        </w:rPr>
      </w:pPr>
      <w:r>
        <w:rPr>
          <w:rFonts w:hint="eastAsia" w:ascii="仿宋_GB2312" w:eastAsia="仿宋_GB2312"/>
          <w:b/>
          <w:bCs/>
          <w:sz w:val="32"/>
          <w:szCs w:val="32"/>
        </w:rPr>
        <w:t xml:space="preserve">    6</w:t>
      </w:r>
      <w:r>
        <w:rPr>
          <w:rFonts w:hint="eastAsia" w:ascii="仿宋_GB2312" w:hAnsi="方正仿宋_GBK" w:eastAsia="仿宋_GB2312" w:cs="方正仿宋_GBK"/>
          <w:sz w:val="32"/>
          <w:szCs w:val="32"/>
        </w:rPr>
        <w:t>、上缴上级支出：</w:t>
      </w:r>
      <w:r>
        <w:rPr>
          <w:rFonts w:hint="eastAsia" w:ascii="仿宋_GB2312" w:eastAsia="仿宋_GB2312"/>
          <w:sz w:val="32"/>
          <w:szCs w:val="32"/>
        </w:rPr>
        <w:t>指下级单位上缴上级的支出。</w:t>
      </w:r>
    </w:p>
    <w:p>
      <w:pPr>
        <w:pStyle w:val="10"/>
        <w:rPr>
          <w:rFonts w:ascii="仿宋_GB2312" w:hAnsi="方正仿宋_GBK" w:eastAsia="仿宋_GB2312" w:cs="方正仿宋_GBK"/>
          <w:sz w:val="32"/>
          <w:szCs w:val="32"/>
        </w:rPr>
      </w:pPr>
      <w:r>
        <w:rPr>
          <w:rFonts w:hint="eastAsia" w:ascii="仿宋_GB2312" w:eastAsia="仿宋_GB2312"/>
          <w:b/>
          <w:bCs/>
          <w:sz w:val="32"/>
          <w:szCs w:val="32"/>
        </w:rPr>
        <w:t xml:space="preserve">    7</w:t>
      </w:r>
      <w:r>
        <w:rPr>
          <w:rFonts w:hint="eastAsia" w:ascii="仿宋_GB2312" w:hAnsi="方正仿宋_GBK" w:eastAsia="仿宋_GB2312" w:cs="方正仿宋_GBK"/>
          <w:sz w:val="32"/>
          <w:szCs w:val="32"/>
        </w:rPr>
        <w:t>、</w:t>
      </w:r>
      <w:r>
        <w:rPr>
          <w:rFonts w:hint="eastAsia" w:ascii="仿宋_GB2312" w:eastAsia="仿宋_GB2312"/>
          <w:b/>
          <w:bCs/>
          <w:sz w:val="32"/>
          <w:szCs w:val="32"/>
        </w:rPr>
        <w:t>“</w:t>
      </w:r>
      <w:r>
        <w:rPr>
          <w:rFonts w:hint="eastAsia" w:ascii="仿宋_GB2312" w:hAnsi="方正仿宋_GBK" w:eastAsia="仿宋_GB2312" w:cs="方正仿宋_GBK"/>
          <w:sz w:val="32"/>
          <w:szCs w:val="32"/>
        </w:rPr>
        <w:t>三公</w:t>
      </w:r>
      <w:r>
        <w:rPr>
          <w:rFonts w:hint="eastAsia" w:ascii="仿宋_GB2312" w:eastAsia="仿宋_GB2312"/>
          <w:b/>
          <w:bCs/>
          <w:sz w:val="32"/>
          <w:szCs w:val="32"/>
        </w:rPr>
        <w:t>”</w:t>
      </w:r>
      <w:r>
        <w:rPr>
          <w:rFonts w:hint="eastAsia" w:ascii="仿宋_GB2312" w:hAnsi="方正仿宋_GBK" w:eastAsia="仿宋_GB2312" w:cs="方正仿宋_GBK"/>
          <w:sz w:val="32"/>
          <w:szCs w:val="32"/>
        </w:rPr>
        <w:t>经费：纳入县级财政预算管理的</w:t>
      </w:r>
      <w:r>
        <w:rPr>
          <w:rFonts w:hint="eastAsia" w:ascii="仿宋_GB2312" w:eastAsia="仿宋_GB2312"/>
          <w:sz w:val="32"/>
          <w:szCs w:val="32"/>
        </w:rPr>
        <w:t>“</w:t>
      </w:r>
      <w:r>
        <w:rPr>
          <w:rFonts w:hint="eastAsia" w:ascii="仿宋_GB2312" w:hAnsi="方正仿宋_GBK" w:eastAsia="仿宋_GB2312" w:cs="方正仿宋_GBK"/>
          <w:sz w:val="32"/>
          <w:szCs w:val="32"/>
        </w:rPr>
        <w:t>三公</w:t>
      </w:r>
      <w:r>
        <w:rPr>
          <w:rFonts w:hint="eastAsia" w:ascii="仿宋_GB2312" w:eastAsia="仿宋_GB2312"/>
          <w:sz w:val="32"/>
          <w:szCs w:val="32"/>
        </w:rPr>
        <w:t>”</w:t>
      </w:r>
      <w:r>
        <w:rPr>
          <w:rFonts w:hint="eastAsia" w:ascii="仿宋_GB2312" w:hAnsi="方正仿宋_GBK" w:eastAsia="仿宋_GB2312" w:cs="方正仿宋_GBK"/>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rPr>
          <w:rFonts w:ascii="仿宋_GB2312" w:eastAsia="仿宋_GB2312"/>
          <w:sz w:val="32"/>
          <w:szCs w:val="32"/>
        </w:rPr>
      </w:pPr>
      <w:r>
        <w:rPr>
          <w:rFonts w:hint="eastAsia" w:ascii="仿宋_GB2312" w:eastAsia="仿宋_GB2312"/>
          <w:b/>
          <w:bCs/>
          <w:sz w:val="32"/>
          <w:szCs w:val="32"/>
        </w:rPr>
        <w:t>8</w:t>
      </w:r>
      <w:r>
        <w:rPr>
          <w:rFonts w:hint="eastAsia" w:ascii="仿宋_GB2312" w:hAnsi="方正仿宋_GBK" w:eastAsia="仿宋_GB2312" w:cs="方正仿宋_GBK"/>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ind w:firstLine="640"/>
        <w:rPr>
          <w:rFonts w:ascii="黑体" w:hAnsi="黑体" w:eastAsia="黑体" w:cs="Times New Roman"/>
          <w:sz w:val="32"/>
          <w:szCs w:val="32"/>
        </w:rPr>
      </w:pPr>
      <w:r>
        <w:rPr>
          <w:rFonts w:hint="eastAsia" w:ascii="黑体" w:hAnsi="黑体" w:eastAsia="黑体" w:cs="Times New Roman"/>
          <w:sz w:val="32"/>
          <w:szCs w:val="32"/>
        </w:rPr>
        <w:t>九、其它需要说明的事项</w:t>
      </w:r>
    </w:p>
    <w:p>
      <w:pPr>
        <w:tabs>
          <w:tab w:val="left" w:pos="11490"/>
        </w:tabs>
        <w:ind w:firstLine="640" w:firstLineChars="200"/>
        <w:rPr>
          <w:rFonts w:ascii="仿宋" w:hAnsi="仿宋" w:eastAsia="仿宋" w:cs="Times New Roman"/>
          <w:sz w:val="32"/>
          <w:szCs w:val="32"/>
        </w:rPr>
      </w:pPr>
      <w:r>
        <w:rPr>
          <w:rFonts w:hint="eastAsia" w:ascii="仿宋" w:hAnsi="仿宋" w:eastAsia="仿宋" w:cs="Times New Roman"/>
          <w:sz w:val="32"/>
          <w:szCs w:val="32"/>
        </w:rPr>
        <w:t>无其它需要说明的事项。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roman"/>
    <w:pitch w:val="default"/>
    <w:sig w:usb0="00000001" w:usb1="080E0000" w:usb2="00000000" w:usb3="00000000" w:csb0="00040000" w:csb1="00000000"/>
  </w:font>
  <w:font w:name="方正书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roma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AA1"/>
    <w:rsid w:val="000251F1"/>
    <w:rsid w:val="00037AF6"/>
    <w:rsid w:val="00045A61"/>
    <w:rsid w:val="00052587"/>
    <w:rsid w:val="00062DD6"/>
    <w:rsid w:val="000650DE"/>
    <w:rsid w:val="000751CD"/>
    <w:rsid w:val="00075D5F"/>
    <w:rsid w:val="00093D80"/>
    <w:rsid w:val="000A63E7"/>
    <w:rsid w:val="000B04B5"/>
    <w:rsid w:val="000C3A19"/>
    <w:rsid w:val="001245BB"/>
    <w:rsid w:val="00125FBB"/>
    <w:rsid w:val="0018479D"/>
    <w:rsid w:val="001C1F53"/>
    <w:rsid w:val="00203698"/>
    <w:rsid w:val="00223272"/>
    <w:rsid w:val="00241FD4"/>
    <w:rsid w:val="0024465C"/>
    <w:rsid w:val="00246DD9"/>
    <w:rsid w:val="002508C4"/>
    <w:rsid w:val="00251B12"/>
    <w:rsid w:val="00260879"/>
    <w:rsid w:val="00261354"/>
    <w:rsid w:val="002645FB"/>
    <w:rsid w:val="00274B2E"/>
    <w:rsid w:val="00296113"/>
    <w:rsid w:val="002C200A"/>
    <w:rsid w:val="002D1476"/>
    <w:rsid w:val="002D3227"/>
    <w:rsid w:val="002D4AF7"/>
    <w:rsid w:val="002F3E58"/>
    <w:rsid w:val="0030542C"/>
    <w:rsid w:val="00311B7A"/>
    <w:rsid w:val="00332ABC"/>
    <w:rsid w:val="003A094E"/>
    <w:rsid w:val="003E1A7F"/>
    <w:rsid w:val="003E23A5"/>
    <w:rsid w:val="003F49E7"/>
    <w:rsid w:val="00415CB8"/>
    <w:rsid w:val="00450F8F"/>
    <w:rsid w:val="00451871"/>
    <w:rsid w:val="00472923"/>
    <w:rsid w:val="00497870"/>
    <w:rsid w:val="004B37C2"/>
    <w:rsid w:val="004E3066"/>
    <w:rsid w:val="004E74CD"/>
    <w:rsid w:val="004F4D0E"/>
    <w:rsid w:val="004F6123"/>
    <w:rsid w:val="00520CEC"/>
    <w:rsid w:val="0056326C"/>
    <w:rsid w:val="005632E5"/>
    <w:rsid w:val="00572603"/>
    <w:rsid w:val="00573562"/>
    <w:rsid w:val="00595C93"/>
    <w:rsid w:val="005B651D"/>
    <w:rsid w:val="005C1AEB"/>
    <w:rsid w:val="005C248A"/>
    <w:rsid w:val="005D68FF"/>
    <w:rsid w:val="006009A1"/>
    <w:rsid w:val="00614A29"/>
    <w:rsid w:val="00646686"/>
    <w:rsid w:val="0068432A"/>
    <w:rsid w:val="0069476A"/>
    <w:rsid w:val="006D6C8A"/>
    <w:rsid w:val="006E5AA3"/>
    <w:rsid w:val="007323EB"/>
    <w:rsid w:val="0075393C"/>
    <w:rsid w:val="00757221"/>
    <w:rsid w:val="00776C08"/>
    <w:rsid w:val="007A1524"/>
    <w:rsid w:val="007A2914"/>
    <w:rsid w:val="007B2D87"/>
    <w:rsid w:val="007B4EE0"/>
    <w:rsid w:val="007E1DA8"/>
    <w:rsid w:val="007F1DCF"/>
    <w:rsid w:val="007F6C26"/>
    <w:rsid w:val="007F7075"/>
    <w:rsid w:val="00803D50"/>
    <w:rsid w:val="00826AC9"/>
    <w:rsid w:val="008334AE"/>
    <w:rsid w:val="00836FED"/>
    <w:rsid w:val="00845CD2"/>
    <w:rsid w:val="008502D8"/>
    <w:rsid w:val="00852B0D"/>
    <w:rsid w:val="00881692"/>
    <w:rsid w:val="008B3CC5"/>
    <w:rsid w:val="008C2BAF"/>
    <w:rsid w:val="008E4261"/>
    <w:rsid w:val="008F4662"/>
    <w:rsid w:val="00905D08"/>
    <w:rsid w:val="0091236C"/>
    <w:rsid w:val="00925753"/>
    <w:rsid w:val="00927B0B"/>
    <w:rsid w:val="009668BA"/>
    <w:rsid w:val="00966C5C"/>
    <w:rsid w:val="00967BB9"/>
    <w:rsid w:val="00973104"/>
    <w:rsid w:val="009A2998"/>
    <w:rsid w:val="009C119B"/>
    <w:rsid w:val="00A11219"/>
    <w:rsid w:val="00A34D76"/>
    <w:rsid w:val="00A662E9"/>
    <w:rsid w:val="00A72D2E"/>
    <w:rsid w:val="00A911E7"/>
    <w:rsid w:val="00A939D9"/>
    <w:rsid w:val="00AA71ED"/>
    <w:rsid w:val="00AB73CD"/>
    <w:rsid w:val="00AF6B63"/>
    <w:rsid w:val="00B043C4"/>
    <w:rsid w:val="00B20712"/>
    <w:rsid w:val="00B43238"/>
    <w:rsid w:val="00B75216"/>
    <w:rsid w:val="00B81FBB"/>
    <w:rsid w:val="00B91D52"/>
    <w:rsid w:val="00BA1ACD"/>
    <w:rsid w:val="00BA408B"/>
    <w:rsid w:val="00BA6C50"/>
    <w:rsid w:val="00C20230"/>
    <w:rsid w:val="00C21BCB"/>
    <w:rsid w:val="00C24BF5"/>
    <w:rsid w:val="00C720E3"/>
    <w:rsid w:val="00C8569A"/>
    <w:rsid w:val="00CA7176"/>
    <w:rsid w:val="00CD2773"/>
    <w:rsid w:val="00CD326E"/>
    <w:rsid w:val="00CE143B"/>
    <w:rsid w:val="00CE403B"/>
    <w:rsid w:val="00CE5192"/>
    <w:rsid w:val="00CF2D57"/>
    <w:rsid w:val="00D361CD"/>
    <w:rsid w:val="00D803BD"/>
    <w:rsid w:val="00D80DB8"/>
    <w:rsid w:val="00DA2FDB"/>
    <w:rsid w:val="00DD2E66"/>
    <w:rsid w:val="00E167C7"/>
    <w:rsid w:val="00E84FEB"/>
    <w:rsid w:val="00EC47F6"/>
    <w:rsid w:val="00EE1B43"/>
    <w:rsid w:val="00F153EF"/>
    <w:rsid w:val="00F50E15"/>
    <w:rsid w:val="00F61055"/>
    <w:rsid w:val="00F66032"/>
    <w:rsid w:val="00F71E48"/>
    <w:rsid w:val="00F958C2"/>
    <w:rsid w:val="00FB4CD3"/>
    <w:rsid w:val="00FC6357"/>
    <w:rsid w:val="00FD2081"/>
    <w:rsid w:val="00FE3D85"/>
    <w:rsid w:val="01536C7A"/>
    <w:rsid w:val="09F5759C"/>
    <w:rsid w:val="1E9A2417"/>
    <w:rsid w:val="2257733B"/>
    <w:rsid w:val="29450A38"/>
    <w:rsid w:val="33DB585E"/>
    <w:rsid w:val="571F07E8"/>
    <w:rsid w:val="614A5E2D"/>
    <w:rsid w:val="6D67473F"/>
    <w:rsid w:val="729909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toc 1"/>
    <w:basedOn w:val="1"/>
    <w:next w:val="1"/>
    <w:qFormat/>
    <w:uiPriority w:val="0"/>
    <w:rPr>
      <w:rFonts w:ascii="Times New Roman" w:hAnsi="Times New Roman" w:eastAsia="宋体" w:cs="Times New Roman"/>
      <w:szCs w:val="24"/>
    </w:rPr>
  </w:style>
  <w:style w:type="paragraph" w:styleId="5">
    <w:name w:val="toc 2"/>
    <w:basedOn w:val="1"/>
    <w:next w:val="1"/>
    <w:qFormat/>
    <w:uiPriority w:val="0"/>
    <w:pPr>
      <w:ind w:left="420" w:leftChars="200"/>
    </w:pPr>
    <w:rPr>
      <w:rFonts w:ascii="Times New Roman" w:hAnsi="Times New Roman" w:eastAsia="宋体" w:cs="Times New Roman"/>
      <w:szCs w:val="24"/>
    </w:rPr>
  </w:style>
  <w:style w:type="character" w:customStyle="1" w:styleId="8">
    <w:name w:val="页眉 Char"/>
    <w:basedOn w:val="6"/>
    <w:link w:val="3"/>
    <w:qFormat/>
    <w:uiPriority w:val="0"/>
    <w:rPr>
      <w:rFonts w:ascii="Times New Roman" w:hAnsi="Times New Roman" w:eastAsia="宋体" w:cs="Times New Roman"/>
      <w:sz w:val="18"/>
      <w:szCs w:val="18"/>
    </w:rPr>
  </w:style>
  <w:style w:type="character" w:customStyle="1" w:styleId="9">
    <w:name w:val="页脚 Char"/>
    <w:basedOn w:val="6"/>
    <w:link w:val="2"/>
    <w:uiPriority w:val="0"/>
    <w:rPr>
      <w:rFonts w:ascii="Times New Roman" w:hAnsi="Times New Roman" w:eastAsia="宋体" w:cs="Times New Roman"/>
      <w:sz w:val="18"/>
      <w:szCs w:val="18"/>
    </w:rPr>
  </w:style>
  <w:style w:type="paragraph" w:customStyle="1" w:styleId="10">
    <w:name w:val="Defaul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167636-1643-483D-AB58-00B4A3E5BFB0}">
  <ds:schemaRefs/>
</ds:datastoreItem>
</file>

<file path=docProps/app.xml><?xml version="1.0" encoding="utf-8"?>
<Properties xmlns="http://schemas.openxmlformats.org/officeDocument/2006/extended-properties" xmlns:vt="http://schemas.openxmlformats.org/officeDocument/2006/docPropsVTypes">
  <Template>Normal</Template>
  <Pages>11</Pages>
  <Words>745</Words>
  <Characters>4249</Characters>
  <Lines>35</Lines>
  <Paragraphs>9</Paragraphs>
  <TotalTime>0</TotalTime>
  <ScaleCrop>false</ScaleCrop>
  <LinksUpToDate>false</LinksUpToDate>
  <CharactersWithSpaces>4985</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CAIWUSHI</cp:lastModifiedBy>
  <dcterms:modified xsi:type="dcterms:W3CDTF">2018-03-01T08:26:00Z</dcterms:modified>
  <dc:title>香河县人大2018年部门预算信息公开</dc:title>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